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C0" w:rsidRPr="00C57B0A" w:rsidRDefault="00C57B0A" w:rsidP="00C57B0A">
      <w:pPr>
        <w:jc w:val="center"/>
        <w:rPr>
          <w:b/>
        </w:rPr>
      </w:pPr>
      <w:r w:rsidRPr="00C57B0A">
        <w:rPr>
          <w:b/>
        </w:rPr>
        <w:t>COMM 7000: Communication Theory</w:t>
      </w:r>
    </w:p>
    <w:p w:rsidR="00C57B0A" w:rsidRDefault="009F452C" w:rsidP="00C57B0A">
      <w:pPr>
        <w:jc w:val="center"/>
      </w:pPr>
      <w:r>
        <w:t>Fall 2016</w:t>
      </w:r>
    </w:p>
    <w:p w:rsidR="00C57B0A" w:rsidRDefault="00C57B0A"/>
    <w:p w:rsidR="00E21E58" w:rsidRDefault="00E21E58">
      <w:r>
        <w:t>Location: LNCO 2630</w:t>
      </w:r>
    </w:p>
    <w:p w:rsidR="00E21E58" w:rsidRDefault="00E21E58" w:rsidP="00E21E58">
      <w:r>
        <w:t>Time: Friday 12:55 PM – 3:55 PM</w:t>
      </w:r>
    </w:p>
    <w:p w:rsidR="00E21E58" w:rsidRDefault="00E21E58"/>
    <w:p w:rsidR="00E21E58" w:rsidRDefault="00C57B0A">
      <w:r>
        <w:t xml:space="preserve">Professor: </w:t>
      </w:r>
    </w:p>
    <w:p w:rsidR="00C57B0A" w:rsidRDefault="00C57B0A">
      <w:r>
        <w:t xml:space="preserve">Jakob </w:t>
      </w:r>
      <w:r w:rsidR="00E21E58">
        <w:t xml:space="preserve">(Jake) </w:t>
      </w:r>
      <w:r>
        <w:t>Jensen</w:t>
      </w:r>
    </w:p>
    <w:p w:rsidR="00E21E58" w:rsidRDefault="00E21E58">
      <w:r>
        <w:t>Associate Professor, Department of Communication</w:t>
      </w:r>
    </w:p>
    <w:p w:rsidR="00E21E58" w:rsidRDefault="00E21E58">
      <w:r>
        <w:t>Associate Dean for Research, College of Humanities</w:t>
      </w:r>
    </w:p>
    <w:p w:rsidR="00E21E58" w:rsidRPr="00E21E58" w:rsidRDefault="00C57B0A">
      <w:pPr>
        <w:rPr>
          <w:color w:val="0000FF" w:themeColor="hyperlink"/>
          <w:u w:val="single"/>
        </w:rPr>
      </w:pPr>
      <w:r>
        <w:t xml:space="preserve">Email: </w:t>
      </w:r>
      <w:hyperlink r:id="rId5" w:history="1">
        <w:r w:rsidRPr="007E150C">
          <w:rPr>
            <w:rStyle w:val="Hyperlink"/>
          </w:rPr>
          <w:t>jakob.jensen@utah.edu</w:t>
        </w:r>
      </w:hyperlink>
    </w:p>
    <w:p w:rsidR="00E21E58" w:rsidRDefault="00E21E58" w:rsidP="00C57B0A">
      <w:r>
        <w:t>Office: LNCO 2618</w:t>
      </w:r>
    </w:p>
    <w:p w:rsidR="00E21E58" w:rsidRDefault="00E21E58" w:rsidP="00C57B0A">
      <w:r>
        <w:t>Office Hours (by appointment): Monday, 2:45 – 4:35 pm</w:t>
      </w:r>
    </w:p>
    <w:p w:rsidR="00C57B0A" w:rsidRDefault="00C57B0A" w:rsidP="00C57B0A"/>
    <w:p w:rsidR="00C57B0A" w:rsidRPr="00E21E58" w:rsidRDefault="00E21E58" w:rsidP="00C57B0A">
      <w:pPr>
        <w:rPr>
          <w:b/>
        </w:rPr>
      </w:pPr>
      <w:r w:rsidRPr="00E21E58">
        <w:rPr>
          <w:b/>
        </w:rPr>
        <w:t>Prerequisites:</w:t>
      </w:r>
    </w:p>
    <w:p w:rsidR="00E21E58" w:rsidRDefault="00E21E58" w:rsidP="00C57B0A">
      <w:r>
        <w:t>There are no prerequisites for this course.</w:t>
      </w:r>
    </w:p>
    <w:p w:rsidR="00E21E58" w:rsidRDefault="00E21E58" w:rsidP="00C57B0A"/>
    <w:p w:rsidR="00C57B0A" w:rsidRPr="005E6C66" w:rsidRDefault="00804B58" w:rsidP="00C57B0A">
      <w:pPr>
        <w:rPr>
          <w:b/>
        </w:rPr>
      </w:pPr>
      <w:r w:rsidRPr="005E6C66">
        <w:rPr>
          <w:b/>
        </w:rPr>
        <w:t>Course Description:</w:t>
      </w:r>
    </w:p>
    <w:p w:rsidR="00804B58" w:rsidRDefault="00C57B0A" w:rsidP="00C57B0A">
      <w:r>
        <w:t>COMM 7000: Communication Theory is a graduate-level introduction to theoretical frameworks utilized by communication scholars across the field.</w:t>
      </w:r>
      <w:r w:rsidR="007E5B3A">
        <w:t xml:space="preserve"> It is ideal for students at both the masters and doctoral level as well as students from other fields looking to gain exposure </w:t>
      </w:r>
      <w:r w:rsidR="00804B58">
        <w:t xml:space="preserve">to communication theory. </w:t>
      </w:r>
    </w:p>
    <w:p w:rsidR="005E6C66" w:rsidRDefault="005E6C66" w:rsidP="00C57B0A"/>
    <w:p w:rsidR="005E6C66" w:rsidRPr="005E6C66" w:rsidRDefault="005E6C66" w:rsidP="00C57B0A">
      <w:pPr>
        <w:rPr>
          <w:b/>
        </w:rPr>
      </w:pPr>
      <w:r w:rsidRPr="005E6C66">
        <w:rPr>
          <w:b/>
        </w:rPr>
        <w:t>Course Objectives:</w:t>
      </w:r>
    </w:p>
    <w:p w:rsidR="005E6C66" w:rsidRDefault="005E6C66" w:rsidP="005E6C66">
      <w:pPr>
        <w:pStyle w:val="ListParagraph"/>
        <w:numPr>
          <w:ilvl w:val="0"/>
          <w:numId w:val="1"/>
        </w:numPr>
      </w:pPr>
      <w:r>
        <w:t>Become familiar with theoretical frameworks used by a wide range of communication scholars</w:t>
      </w:r>
    </w:p>
    <w:p w:rsidR="005E6C66" w:rsidRDefault="005E6C66" w:rsidP="005E6C66">
      <w:pPr>
        <w:pStyle w:val="ListParagraph"/>
        <w:numPr>
          <w:ilvl w:val="0"/>
          <w:numId w:val="1"/>
        </w:numPr>
      </w:pPr>
      <w:r>
        <w:t>Learn how to develop, apply, and refine theoretical frameworks</w:t>
      </w:r>
    </w:p>
    <w:p w:rsidR="005E6C66" w:rsidRDefault="005E6C66" w:rsidP="005E6C66">
      <w:pPr>
        <w:pStyle w:val="ListParagraph"/>
        <w:numPr>
          <w:ilvl w:val="0"/>
          <w:numId w:val="1"/>
        </w:numPr>
      </w:pPr>
      <w:r>
        <w:t>Learn how to visually depict theoretical frameworks for research and presentations</w:t>
      </w:r>
    </w:p>
    <w:p w:rsidR="00804B58" w:rsidRDefault="005E6C66" w:rsidP="009A48B7">
      <w:pPr>
        <w:pStyle w:val="ListParagraph"/>
      </w:pPr>
      <w:r>
        <w:t xml:space="preserve"> </w:t>
      </w:r>
    </w:p>
    <w:p w:rsidR="00E21E58" w:rsidRPr="00745943" w:rsidRDefault="00E21E58" w:rsidP="00E21E58">
      <w:pPr>
        <w:rPr>
          <w:b/>
        </w:rPr>
      </w:pPr>
      <w:r w:rsidRPr="00745943">
        <w:rPr>
          <w:b/>
        </w:rPr>
        <w:t>Required Texts:</w:t>
      </w:r>
    </w:p>
    <w:p w:rsidR="00E21E58" w:rsidRDefault="00E21E58" w:rsidP="00E21E58">
      <w:r>
        <w:t xml:space="preserve">There is no required text </w:t>
      </w:r>
      <w:r w:rsidR="00C14ACA">
        <w:t>for the course. All readings will be</w:t>
      </w:r>
      <w:r>
        <w:t xml:space="preserve"> posted to the course CANVAS page under “Files&gt;Readings”</w:t>
      </w:r>
    </w:p>
    <w:p w:rsidR="00E21E58" w:rsidRPr="00745943" w:rsidRDefault="00E21E58" w:rsidP="00E21E58">
      <w:pPr>
        <w:ind w:left="720"/>
      </w:pPr>
      <w:r w:rsidRPr="00745943">
        <w:t> </w:t>
      </w:r>
    </w:p>
    <w:p w:rsidR="00470F2E" w:rsidRDefault="00470F2E" w:rsidP="00E21E58">
      <w:pPr>
        <w:rPr>
          <w:b/>
        </w:rPr>
      </w:pPr>
    </w:p>
    <w:p w:rsidR="00E21E58" w:rsidRPr="00745943" w:rsidRDefault="00E21E58" w:rsidP="00E21E58">
      <w:pPr>
        <w:rPr>
          <w:b/>
        </w:rPr>
      </w:pPr>
      <w:r w:rsidRPr="00745943">
        <w:rPr>
          <w:b/>
        </w:rPr>
        <w:t>Requirements and Grading:</w:t>
      </w:r>
    </w:p>
    <w:p w:rsidR="00E21E58" w:rsidRPr="00745943" w:rsidRDefault="00E21E58" w:rsidP="00E21E58">
      <w:pPr>
        <w:rPr>
          <w:b/>
        </w:rPr>
      </w:pPr>
    </w:p>
    <w:p w:rsidR="00E21E58" w:rsidRPr="00745943" w:rsidRDefault="00E21E58" w:rsidP="00E21E58">
      <w:r w:rsidRPr="00745943">
        <w:t xml:space="preserve">  </w:t>
      </w:r>
      <w:r w:rsidR="009A48B7">
        <w:t xml:space="preserve">Assignments </w:t>
      </w:r>
      <w:r w:rsidR="009A48B7">
        <w:tab/>
      </w:r>
      <w:r w:rsidR="009A48B7">
        <w:tab/>
      </w:r>
      <w:r w:rsidR="009A48B7">
        <w:tab/>
        <w:t xml:space="preserve">          </w:t>
      </w:r>
      <w:r w:rsidRPr="00745943">
        <w:t>% of final grade</w:t>
      </w:r>
      <w:r w:rsidR="009A48B7">
        <w:tab/>
      </w:r>
      <w:r w:rsidR="009A48B7">
        <w:tab/>
      </w:r>
      <w:r w:rsidR="009A48B7">
        <w:tab/>
        <w:t>Due date</w:t>
      </w:r>
      <w:r w:rsidR="009A48B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073"/>
        <w:gridCol w:w="2917"/>
      </w:tblGrid>
      <w:tr w:rsidR="009A48B7" w:rsidRPr="00745943" w:rsidTr="009A48B7">
        <w:tc>
          <w:tcPr>
            <w:tcW w:w="3360" w:type="dxa"/>
          </w:tcPr>
          <w:p w:rsidR="009A48B7" w:rsidRPr="00745943" w:rsidRDefault="009A48B7" w:rsidP="002F3BE2">
            <w:r>
              <w:t xml:space="preserve">Sketchbook Assignments </w:t>
            </w:r>
          </w:p>
        </w:tc>
        <w:tc>
          <w:tcPr>
            <w:tcW w:w="3073" w:type="dxa"/>
          </w:tcPr>
          <w:p w:rsidR="009A48B7" w:rsidRPr="00745943" w:rsidRDefault="009A48B7" w:rsidP="002F3BE2">
            <w:r>
              <w:t>20%</w:t>
            </w:r>
          </w:p>
        </w:tc>
        <w:tc>
          <w:tcPr>
            <w:tcW w:w="2917" w:type="dxa"/>
          </w:tcPr>
          <w:p w:rsidR="009A48B7" w:rsidRDefault="009A48B7" w:rsidP="002F3BE2">
            <w:r>
              <w:t>December 2</w:t>
            </w:r>
            <w:r w:rsidRPr="009A48B7">
              <w:rPr>
                <w:vertAlign w:val="superscript"/>
              </w:rPr>
              <w:t>nd</w:t>
            </w:r>
            <w:r>
              <w:t xml:space="preserve"> (in class)</w:t>
            </w:r>
          </w:p>
        </w:tc>
      </w:tr>
      <w:tr w:rsidR="009A48B7" w:rsidRPr="00745943" w:rsidTr="009A48B7">
        <w:tc>
          <w:tcPr>
            <w:tcW w:w="3360" w:type="dxa"/>
          </w:tcPr>
          <w:p w:rsidR="009A48B7" w:rsidRDefault="009A48B7" w:rsidP="002F3BE2">
            <w:r>
              <w:t>Paper #1</w:t>
            </w:r>
          </w:p>
        </w:tc>
        <w:tc>
          <w:tcPr>
            <w:tcW w:w="3073" w:type="dxa"/>
          </w:tcPr>
          <w:p w:rsidR="009A48B7" w:rsidRDefault="009A48B7" w:rsidP="002F3BE2">
            <w:r>
              <w:t>20%</w:t>
            </w:r>
          </w:p>
        </w:tc>
        <w:tc>
          <w:tcPr>
            <w:tcW w:w="2917" w:type="dxa"/>
          </w:tcPr>
          <w:p w:rsidR="009A48B7" w:rsidRDefault="009A48B7" w:rsidP="002F3BE2">
            <w:r>
              <w:t>October 3</w:t>
            </w:r>
            <w:r w:rsidRPr="009A48B7">
              <w:rPr>
                <w:vertAlign w:val="superscript"/>
              </w:rPr>
              <w:t>rd</w:t>
            </w:r>
            <w:r>
              <w:t xml:space="preserve"> (11:59 pm)</w:t>
            </w:r>
          </w:p>
        </w:tc>
      </w:tr>
      <w:tr w:rsidR="009A48B7" w:rsidRPr="00745943" w:rsidTr="009A48B7">
        <w:tc>
          <w:tcPr>
            <w:tcW w:w="3360" w:type="dxa"/>
          </w:tcPr>
          <w:p w:rsidR="009A48B7" w:rsidRPr="00745943" w:rsidRDefault="009A48B7" w:rsidP="002F3BE2">
            <w:r>
              <w:t>Paper #2</w:t>
            </w:r>
          </w:p>
        </w:tc>
        <w:tc>
          <w:tcPr>
            <w:tcW w:w="3073" w:type="dxa"/>
          </w:tcPr>
          <w:p w:rsidR="009A48B7" w:rsidRPr="00745943" w:rsidRDefault="009A48B7" w:rsidP="002F3BE2">
            <w:r>
              <w:t>60</w:t>
            </w:r>
            <w:r w:rsidRPr="00745943">
              <w:t>%</w:t>
            </w:r>
          </w:p>
        </w:tc>
        <w:tc>
          <w:tcPr>
            <w:tcW w:w="2917" w:type="dxa"/>
          </w:tcPr>
          <w:p w:rsidR="009A48B7" w:rsidRDefault="009A48B7" w:rsidP="002F3BE2">
            <w:r>
              <w:t>First 5 pages:</w:t>
            </w:r>
          </w:p>
          <w:p w:rsidR="009A48B7" w:rsidRDefault="009A48B7" w:rsidP="002F3BE2">
            <w:r>
              <w:t>October 19</w:t>
            </w:r>
            <w:r w:rsidRPr="009A48B7">
              <w:rPr>
                <w:vertAlign w:val="superscript"/>
              </w:rPr>
              <w:t>th</w:t>
            </w:r>
            <w:r>
              <w:t xml:space="preserve"> (11:59 pm)</w:t>
            </w:r>
          </w:p>
          <w:p w:rsidR="009A48B7" w:rsidRDefault="009A48B7" w:rsidP="002F3BE2">
            <w:r>
              <w:t>Next 5 pages:</w:t>
            </w:r>
          </w:p>
          <w:p w:rsidR="009A48B7" w:rsidRDefault="009A48B7" w:rsidP="002F3BE2">
            <w:r>
              <w:t>November 7</w:t>
            </w:r>
            <w:r w:rsidRPr="009A48B7">
              <w:rPr>
                <w:vertAlign w:val="superscript"/>
              </w:rPr>
              <w:t>th</w:t>
            </w:r>
            <w:r>
              <w:t xml:space="preserve"> (11:59 pm)</w:t>
            </w:r>
          </w:p>
          <w:p w:rsidR="009A48B7" w:rsidRDefault="009A48B7" w:rsidP="002F3BE2">
            <w:r>
              <w:t>Full Draft:</w:t>
            </w:r>
          </w:p>
          <w:p w:rsidR="009A48B7" w:rsidRDefault="009A48B7" w:rsidP="002F3BE2">
            <w:r>
              <w:t>December 9</w:t>
            </w:r>
            <w:r w:rsidRPr="009A48B7">
              <w:rPr>
                <w:vertAlign w:val="superscript"/>
              </w:rPr>
              <w:t>th</w:t>
            </w:r>
            <w:r>
              <w:t xml:space="preserve"> (11:59 pm)</w:t>
            </w:r>
          </w:p>
        </w:tc>
      </w:tr>
    </w:tbl>
    <w:p w:rsidR="00E21E58" w:rsidRPr="00745943" w:rsidRDefault="00E21E58" w:rsidP="00E21E58"/>
    <w:p w:rsidR="00E21E58" w:rsidRPr="00330069" w:rsidRDefault="00330069" w:rsidP="00E21E58">
      <w:pPr>
        <w:rPr>
          <w:b/>
        </w:rPr>
      </w:pPr>
      <w:r w:rsidRPr="00330069">
        <w:rPr>
          <w:b/>
        </w:rPr>
        <w:lastRenderedPageBreak/>
        <w:t>Sketchbook Assignments:</w:t>
      </w:r>
    </w:p>
    <w:p w:rsidR="00330069" w:rsidRDefault="00330069" w:rsidP="00330069">
      <w:r>
        <w:t xml:space="preserve">All students are required to purchase a good sketchbook and a pencil or pen, and bring it to class with you every day. </w:t>
      </w:r>
      <w:hyperlink r:id="rId6" w:history="1">
        <w:r w:rsidRPr="00642B4B">
          <w:rPr>
            <w:rStyle w:val="Hyperlink"/>
          </w:rPr>
          <w:t>Here’s a good example</w:t>
        </w:r>
      </w:hyperlink>
      <w:r>
        <w:t xml:space="preserve"> of sketchbook that would work. We will be using the sketch books to draw pictures of theories, constructs, and for brainstorming activities. You will hand it in at the end of the semester, </w:t>
      </w:r>
      <w:r w:rsidR="00943A6E">
        <w:t xml:space="preserve">and occasionally share </w:t>
      </w:r>
      <w:r>
        <w:t xml:space="preserve">your drawings with the class. Why? Because theoretical thinking often starts in a </w:t>
      </w:r>
      <w:hyperlink r:id="rId7" w:history="1">
        <w:r w:rsidRPr="00330069">
          <w:rPr>
            <w:rStyle w:val="Hyperlink"/>
          </w:rPr>
          <w:t>sketchbook</w:t>
        </w:r>
      </w:hyperlink>
      <w:r>
        <w:t>.</w:t>
      </w:r>
    </w:p>
    <w:p w:rsidR="008A7BA0" w:rsidRDefault="008A7BA0" w:rsidP="00330069"/>
    <w:p w:rsidR="008A7BA0" w:rsidRDefault="008A7BA0" w:rsidP="00330069">
      <w:r>
        <w:t>See also:</w:t>
      </w:r>
    </w:p>
    <w:p w:rsidR="008A7BA0" w:rsidRDefault="008A7BA0" w:rsidP="008A7BA0">
      <w:pPr>
        <w:shd w:val="clear" w:color="auto" w:fill="FFFFFF"/>
        <w:rPr>
          <w:rFonts w:eastAsia="Times New Roman"/>
          <w:lang w:val="en"/>
        </w:rPr>
      </w:pPr>
      <w:r>
        <w:rPr>
          <w:rFonts w:eastAsia="Times New Roman"/>
          <w:lang w:val="en"/>
        </w:rPr>
        <w:t>“</w:t>
      </w:r>
      <w:r w:rsidRPr="00C07591">
        <w:rPr>
          <w:rFonts w:eastAsia="Times New Roman"/>
          <w:lang w:val="en"/>
        </w:rPr>
        <w:t>Theories may assume different shapes as they evolve. Darwin’s theory of natural</w:t>
      </w:r>
      <w:r>
        <w:rPr>
          <w:rFonts w:eastAsia="Times New Roman"/>
          <w:lang w:val="en"/>
        </w:rPr>
        <w:t xml:space="preserve"> </w:t>
      </w:r>
      <w:r w:rsidRPr="00C07591">
        <w:rPr>
          <w:rFonts w:eastAsia="Times New Roman"/>
          <w:lang w:val="en"/>
        </w:rPr>
        <w:t>selection began as a mental image of an irregularly branching tree, then became</w:t>
      </w:r>
      <w:r>
        <w:rPr>
          <w:rFonts w:eastAsia="Times New Roman"/>
          <w:lang w:val="en"/>
        </w:rPr>
        <w:t xml:space="preserve"> </w:t>
      </w:r>
      <w:r w:rsidRPr="00C07591">
        <w:rPr>
          <w:rFonts w:eastAsia="Times New Roman"/>
          <w:lang w:val="en"/>
        </w:rPr>
        <w:t>notes in a journal, then a lengthy systematic treatise written in natural language,</w:t>
      </w:r>
      <w:r>
        <w:rPr>
          <w:rFonts w:eastAsia="Times New Roman"/>
          <w:lang w:val="en"/>
        </w:rPr>
        <w:t xml:space="preserve"> </w:t>
      </w:r>
      <w:r w:rsidRPr="00C07591">
        <w:rPr>
          <w:rFonts w:eastAsia="Times New Roman"/>
          <w:lang w:val="en"/>
        </w:rPr>
        <w:t>and later a concept expressed mathematically by evolutionary biologists. On the</w:t>
      </w:r>
      <w:r>
        <w:rPr>
          <w:rFonts w:eastAsia="Times New Roman"/>
          <w:lang w:val="en"/>
        </w:rPr>
        <w:t xml:space="preserve"> </w:t>
      </w:r>
      <w:r w:rsidRPr="00C07591">
        <w:rPr>
          <w:rFonts w:eastAsia="Times New Roman"/>
          <w:lang w:val="en"/>
        </w:rPr>
        <w:t>other hand, Einstein’s special theory of relativity was expressed mathematically</w:t>
      </w:r>
      <w:r>
        <w:rPr>
          <w:rFonts w:eastAsia="Times New Roman"/>
          <w:lang w:val="en"/>
        </w:rPr>
        <w:t xml:space="preserve"> </w:t>
      </w:r>
      <w:r w:rsidRPr="00C07591">
        <w:rPr>
          <w:rFonts w:eastAsia="Times New Roman"/>
          <w:lang w:val="en"/>
        </w:rPr>
        <w:t>from the outset (although in this case, too, mental images played an important</w:t>
      </w:r>
      <w:r>
        <w:rPr>
          <w:rFonts w:eastAsia="Times New Roman"/>
          <w:lang w:val="en"/>
        </w:rPr>
        <w:t xml:space="preserve"> </w:t>
      </w:r>
      <w:r w:rsidRPr="00C07591">
        <w:rPr>
          <w:rFonts w:eastAsia="Times New Roman"/>
          <w:lang w:val="en"/>
        </w:rPr>
        <w:t>role in the theory’s creation). Perhaps more relevantly, Burke’s theory of symbolic</w:t>
      </w:r>
      <w:r>
        <w:rPr>
          <w:rFonts w:eastAsia="Times New Roman"/>
          <w:lang w:val="en"/>
        </w:rPr>
        <w:t xml:space="preserve"> </w:t>
      </w:r>
      <w:r w:rsidRPr="00C07591">
        <w:rPr>
          <w:rFonts w:eastAsia="Times New Roman"/>
          <w:lang w:val="en"/>
        </w:rPr>
        <w:t>action was rendered initially at great length impressionistically across multiple</w:t>
      </w:r>
      <w:r>
        <w:rPr>
          <w:rFonts w:eastAsia="Times New Roman"/>
          <w:lang w:val="en"/>
        </w:rPr>
        <w:t xml:space="preserve"> </w:t>
      </w:r>
      <w:r w:rsidRPr="00C07591">
        <w:rPr>
          <w:rFonts w:eastAsia="Times New Roman"/>
          <w:lang w:val="en"/>
        </w:rPr>
        <w:t>volumes (e.g., 1953, 1954, 1961) and was later systematized and cast in the form</w:t>
      </w:r>
      <w:r>
        <w:rPr>
          <w:rFonts w:eastAsia="Times New Roman"/>
          <w:lang w:val="en"/>
        </w:rPr>
        <w:t xml:space="preserve"> </w:t>
      </w:r>
      <w:r w:rsidRPr="00C07591">
        <w:rPr>
          <w:rFonts w:eastAsia="Times New Roman"/>
          <w:lang w:val="en"/>
        </w:rPr>
        <w:t>of</w:t>
      </w:r>
      <w:r>
        <w:rPr>
          <w:rFonts w:eastAsia="Times New Roman"/>
          <w:lang w:val="en"/>
        </w:rPr>
        <w:t xml:space="preserve"> propositions by Duncan (1968). </w:t>
      </w:r>
      <w:r w:rsidRPr="00C07591">
        <w:rPr>
          <w:rFonts w:eastAsia="Times New Roman"/>
          <w:lang w:val="en"/>
        </w:rPr>
        <w:t>Differences in theoretical form no doubt arise</w:t>
      </w:r>
      <w:r>
        <w:rPr>
          <w:rFonts w:eastAsia="Times New Roman"/>
          <w:lang w:val="en"/>
        </w:rPr>
        <w:t xml:space="preserve"> for many </w:t>
      </w:r>
      <w:r w:rsidRPr="00C07591">
        <w:rPr>
          <w:rFonts w:eastAsia="Times New Roman"/>
          <w:lang w:val="en"/>
        </w:rPr>
        <w:t>reasons, but especially important in this context is the point that these</w:t>
      </w:r>
      <w:r>
        <w:rPr>
          <w:rFonts w:eastAsia="Times New Roman"/>
          <w:lang w:val="en"/>
        </w:rPr>
        <w:t xml:space="preserve"> </w:t>
      </w:r>
      <w:r w:rsidRPr="00C07591">
        <w:rPr>
          <w:rFonts w:eastAsia="Times New Roman"/>
          <w:lang w:val="en"/>
        </w:rPr>
        <w:t>differences have significant consequences for theory testing and more generally</w:t>
      </w:r>
      <w:r>
        <w:rPr>
          <w:rFonts w:eastAsia="Times New Roman"/>
          <w:lang w:val="en"/>
        </w:rPr>
        <w:t xml:space="preserve"> </w:t>
      </w:r>
      <w:r w:rsidRPr="00C07591">
        <w:rPr>
          <w:rFonts w:eastAsia="Times New Roman"/>
          <w:lang w:val="en"/>
        </w:rPr>
        <w:t>for what is done with a theory (i.e., for theoretical implementation).</w:t>
      </w:r>
      <w:r>
        <w:rPr>
          <w:rFonts w:eastAsia="Times New Roman"/>
          <w:lang w:val="en"/>
        </w:rPr>
        <w:t>”</w:t>
      </w:r>
    </w:p>
    <w:p w:rsidR="008A7BA0" w:rsidRDefault="008A7BA0" w:rsidP="008A7BA0">
      <w:pPr>
        <w:shd w:val="clear" w:color="auto" w:fill="FFFFFF"/>
        <w:rPr>
          <w:rFonts w:eastAsia="Times New Roman"/>
          <w:lang w:val="en"/>
        </w:rPr>
      </w:pPr>
    </w:p>
    <w:p w:rsidR="008A7BA0" w:rsidRDefault="008A7BA0" w:rsidP="008A7BA0">
      <w:pPr>
        <w:shd w:val="clear" w:color="auto" w:fill="FFFFFF"/>
        <w:rPr>
          <w:rFonts w:eastAsia="Times New Roman"/>
          <w:lang w:val="en"/>
        </w:rPr>
      </w:pPr>
      <w:r>
        <w:rPr>
          <w:rFonts w:eastAsia="Times New Roman"/>
          <w:lang w:val="en"/>
        </w:rPr>
        <w:t xml:space="preserve">J. J. </w:t>
      </w:r>
      <w:proofErr w:type="spellStart"/>
      <w:r>
        <w:rPr>
          <w:rFonts w:eastAsia="Times New Roman"/>
          <w:lang w:val="en"/>
        </w:rPr>
        <w:t>Bradac</w:t>
      </w:r>
      <w:proofErr w:type="spellEnd"/>
      <w:r>
        <w:rPr>
          <w:rFonts w:eastAsia="Times New Roman"/>
          <w:lang w:val="en"/>
        </w:rPr>
        <w:t xml:space="preserve">, </w:t>
      </w:r>
      <w:r w:rsidRPr="00C07591">
        <w:rPr>
          <w:rFonts w:eastAsia="Times New Roman"/>
          <w:i/>
          <w:lang w:val="en"/>
        </w:rPr>
        <w:t>Uncertainty Theories Compared</w:t>
      </w:r>
      <w:r>
        <w:rPr>
          <w:rFonts w:eastAsia="Times New Roman"/>
          <w:lang w:val="en"/>
        </w:rPr>
        <w:t>, p. 466-467</w:t>
      </w:r>
    </w:p>
    <w:p w:rsidR="00330069" w:rsidRPr="00745943" w:rsidRDefault="00330069" w:rsidP="00330069"/>
    <w:p w:rsidR="00330069" w:rsidRPr="00330069" w:rsidRDefault="00330069" w:rsidP="00E21E58">
      <w:pPr>
        <w:rPr>
          <w:b/>
        </w:rPr>
      </w:pPr>
      <w:r w:rsidRPr="00330069">
        <w:rPr>
          <w:b/>
        </w:rPr>
        <w:t xml:space="preserve">Paper #1: </w:t>
      </w:r>
    </w:p>
    <w:p w:rsidR="00330069" w:rsidRDefault="00330069" w:rsidP="00E21E58">
      <w:r>
        <w:t xml:space="preserve">Identify a </w:t>
      </w:r>
      <w:r w:rsidR="00B808C2">
        <w:t xml:space="preserve">theory or </w:t>
      </w:r>
      <w:r>
        <w:t>construct you are interested in and craft a 1-page synthesis of what we know about it.</w:t>
      </w:r>
      <w:r w:rsidR="00B808C2">
        <w:t xml:space="preserve"> </w:t>
      </w:r>
      <w:r>
        <w:t xml:space="preserve">1 page (plus reference page). Single-spaced. Times New Roman, 12 pt. font. </w:t>
      </w:r>
    </w:p>
    <w:p w:rsidR="00330069" w:rsidRDefault="00330069" w:rsidP="00E21E58"/>
    <w:p w:rsidR="00330069" w:rsidRPr="00330069" w:rsidRDefault="00330069" w:rsidP="00E21E58">
      <w:pPr>
        <w:rPr>
          <w:b/>
        </w:rPr>
      </w:pPr>
      <w:r w:rsidRPr="00330069">
        <w:rPr>
          <w:b/>
        </w:rPr>
        <w:t xml:space="preserve">Paper #2: </w:t>
      </w:r>
    </w:p>
    <w:p w:rsidR="00330069" w:rsidRDefault="00330069" w:rsidP="00E21E58">
      <w:r>
        <w:t>Review an existing theory or explicate a construct.</w:t>
      </w:r>
    </w:p>
    <w:p w:rsidR="00330069" w:rsidRDefault="00330069" w:rsidP="00E21E58">
      <w:r>
        <w:t>20 pages (plus reference page). Double-spaced. Times New Roman, 12 pt. font.</w:t>
      </w:r>
    </w:p>
    <w:p w:rsidR="00E21E58" w:rsidRPr="00745943" w:rsidRDefault="00E21E58" w:rsidP="00E21E58"/>
    <w:p w:rsidR="00E21E58" w:rsidRPr="00745943" w:rsidRDefault="00E21E58" w:rsidP="00E21E58">
      <w:pPr>
        <w:rPr>
          <w:b/>
          <w:bCs/>
        </w:rPr>
      </w:pPr>
      <w:r w:rsidRPr="00745943">
        <w:rPr>
          <w:b/>
          <w:bCs/>
        </w:rPr>
        <w:t>Plus/Minus System:</w:t>
      </w:r>
    </w:p>
    <w:p w:rsidR="00E21E58" w:rsidRPr="00745943" w:rsidRDefault="00E21E58" w:rsidP="00E21E58">
      <w:pPr>
        <w:pStyle w:val="NormalWeb"/>
        <w:spacing w:before="0" w:beforeAutospacing="0" w:after="0" w:afterAutospacing="0"/>
      </w:pPr>
      <w:r>
        <w:rPr>
          <w:bCs/>
        </w:rPr>
        <w:t>COMM 7000</w:t>
      </w:r>
      <w:r w:rsidRPr="00745943">
        <w:rPr>
          <w:bCs/>
        </w:rPr>
        <w:t xml:space="preserve"> uses a plus/minus system with one twist</w:t>
      </w:r>
      <w:r w:rsidRPr="00745943">
        <w:t xml:space="preserve">: there is no A+ or A- because the U does not recognize an A+ (thus making the A- problematic). </w:t>
      </w:r>
    </w:p>
    <w:p w:rsidR="00E21E58" w:rsidRPr="00745943" w:rsidRDefault="00E21E58" w:rsidP="00E21E58">
      <w:pPr>
        <w:pStyle w:val="NormalWeb"/>
        <w:spacing w:before="0" w:beforeAutospacing="0" w:after="0" w:afterAutospacing="0"/>
        <w:rPr>
          <w:color w:val="000000"/>
        </w:rPr>
      </w:pPr>
    </w:p>
    <w:p w:rsidR="00E21E58" w:rsidRPr="00745943" w:rsidRDefault="00E21E58" w:rsidP="00E21E58">
      <w:pPr>
        <w:tabs>
          <w:tab w:val="left" w:pos="-720"/>
        </w:tabs>
        <w:rPr>
          <w:b/>
        </w:rPr>
      </w:pPr>
      <w:r w:rsidRPr="00745943">
        <w:rPr>
          <w:b/>
        </w:rPr>
        <w:t>Grade Calculation:</w:t>
      </w:r>
    </w:p>
    <w:p w:rsidR="00E21E58" w:rsidRPr="00745943" w:rsidRDefault="00E21E58" w:rsidP="00E21E58">
      <w:pPr>
        <w:tabs>
          <w:tab w:val="left" w:pos="-720"/>
        </w:tabs>
      </w:pPr>
      <w:r w:rsidRPr="00745943">
        <w:t xml:space="preserve">One's course grade will be determined by the (weighted) average of the grades on each of the </w:t>
      </w:r>
      <w:r w:rsidR="00C14ACA">
        <w:t xml:space="preserve">three </w:t>
      </w:r>
      <w:r w:rsidRPr="00745943">
        <w:t xml:space="preserve">assignments. </w:t>
      </w:r>
    </w:p>
    <w:p w:rsidR="00E21E58" w:rsidRPr="00745943" w:rsidRDefault="00E21E58" w:rsidP="00E21E58">
      <w:pPr>
        <w:tabs>
          <w:tab w:val="left" w:pos="-720"/>
        </w:tabs>
      </w:pPr>
    </w:p>
    <w:p w:rsidR="00E21E58" w:rsidRPr="00745943" w:rsidRDefault="00E21E58" w:rsidP="00E21E58">
      <w:pPr>
        <w:tabs>
          <w:tab w:val="left" w:pos="-720"/>
        </w:tabs>
      </w:pPr>
      <w:r w:rsidRPr="00745943">
        <w:tab/>
      </w:r>
      <w:r w:rsidRPr="00745943">
        <w:tab/>
      </w:r>
      <w:r w:rsidRPr="00745943">
        <w:tab/>
      </w:r>
      <w:r w:rsidRPr="00745943">
        <w:tab/>
      </w:r>
      <w:r w:rsidRPr="00745943">
        <w:rPr>
          <w:u w:val="single"/>
        </w:rPr>
        <w:t>Course Average</w:t>
      </w:r>
      <w:r w:rsidRPr="00745943">
        <w:t xml:space="preserve"> </w:t>
      </w:r>
      <w:r w:rsidRPr="00745943">
        <w:tab/>
      </w:r>
      <w:r w:rsidRPr="00745943">
        <w:rPr>
          <w:u w:val="single"/>
        </w:rPr>
        <w:t>Course Grade</w:t>
      </w:r>
    </w:p>
    <w:p w:rsidR="00E21E58" w:rsidRPr="00745943" w:rsidRDefault="00E21E58" w:rsidP="00E21E58">
      <w:pPr>
        <w:tabs>
          <w:tab w:val="left" w:pos="-720"/>
        </w:tabs>
      </w:pPr>
      <w:r w:rsidRPr="00745943">
        <w:tab/>
      </w:r>
      <w:r w:rsidRPr="00745943">
        <w:tab/>
      </w:r>
      <w:r w:rsidRPr="00745943">
        <w:tab/>
      </w:r>
      <w:r w:rsidRPr="00745943">
        <w:tab/>
        <w:t>90% and up</w:t>
      </w:r>
      <w:r w:rsidRPr="00745943">
        <w:tab/>
      </w:r>
      <w:r w:rsidRPr="00745943">
        <w:tab/>
        <w:t>A</w:t>
      </w:r>
    </w:p>
    <w:p w:rsidR="00E21E58" w:rsidRPr="00745943" w:rsidRDefault="00E21E58" w:rsidP="00E21E58">
      <w:pPr>
        <w:tabs>
          <w:tab w:val="left" w:pos="-720"/>
        </w:tabs>
      </w:pPr>
      <w:r w:rsidRPr="00745943">
        <w:tab/>
      </w:r>
      <w:r w:rsidRPr="00745943">
        <w:tab/>
      </w:r>
      <w:r w:rsidRPr="00745943">
        <w:tab/>
      </w:r>
      <w:r w:rsidRPr="00745943">
        <w:tab/>
        <w:t>87% and up</w:t>
      </w:r>
      <w:r w:rsidRPr="00745943">
        <w:tab/>
      </w:r>
      <w:r w:rsidRPr="00745943">
        <w:tab/>
        <w:t>B+</w:t>
      </w:r>
    </w:p>
    <w:p w:rsidR="00E21E58" w:rsidRPr="00745943" w:rsidRDefault="00E21E58" w:rsidP="00E21E58">
      <w:pPr>
        <w:tabs>
          <w:tab w:val="left" w:pos="-720"/>
        </w:tabs>
      </w:pPr>
      <w:r w:rsidRPr="00745943">
        <w:tab/>
      </w:r>
      <w:r w:rsidRPr="00745943">
        <w:tab/>
      </w:r>
      <w:r w:rsidRPr="00745943">
        <w:tab/>
      </w:r>
      <w:r w:rsidRPr="00745943">
        <w:tab/>
        <w:t>83% and up</w:t>
      </w:r>
      <w:r w:rsidRPr="00745943">
        <w:tab/>
      </w:r>
      <w:r w:rsidRPr="00745943">
        <w:tab/>
        <w:t>B</w:t>
      </w:r>
    </w:p>
    <w:p w:rsidR="00E21E58" w:rsidRPr="00745943" w:rsidRDefault="00E21E58" w:rsidP="00E21E58">
      <w:pPr>
        <w:tabs>
          <w:tab w:val="left" w:pos="-720"/>
        </w:tabs>
      </w:pPr>
      <w:r w:rsidRPr="00745943">
        <w:tab/>
      </w:r>
      <w:r w:rsidRPr="00745943">
        <w:tab/>
      </w:r>
      <w:r w:rsidRPr="00745943">
        <w:tab/>
      </w:r>
      <w:r w:rsidRPr="00745943">
        <w:tab/>
        <w:t>80% and up</w:t>
      </w:r>
      <w:r w:rsidRPr="00745943">
        <w:tab/>
      </w:r>
      <w:r w:rsidRPr="00745943">
        <w:tab/>
        <w:t>B-</w:t>
      </w:r>
    </w:p>
    <w:p w:rsidR="00E21E58" w:rsidRPr="00745943" w:rsidRDefault="00E21E58" w:rsidP="00E21E58">
      <w:pPr>
        <w:tabs>
          <w:tab w:val="left" w:pos="-720"/>
        </w:tabs>
      </w:pPr>
      <w:r w:rsidRPr="00745943">
        <w:tab/>
      </w:r>
      <w:r w:rsidRPr="00745943">
        <w:tab/>
      </w:r>
      <w:r w:rsidRPr="00745943">
        <w:tab/>
      </w:r>
      <w:r w:rsidRPr="00745943">
        <w:tab/>
        <w:t>77% and up</w:t>
      </w:r>
      <w:r w:rsidRPr="00745943">
        <w:tab/>
      </w:r>
      <w:r w:rsidRPr="00745943">
        <w:tab/>
        <w:t>C+</w:t>
      </w:r>
    </w:p>
    <w:p w:rsidR="00E21E58" w:rsidRPr="00745943" w:rsidRDefault="00E21E58" w:rsidP="00E21E58">
      <w:pPr>
        <w:tabs>
          <w:tab w:val="left" w:pos="-720"/>
        </w:tabs>
      </w:pPr>
      <w:r w:rsidRPr="00745943">
        <w:tab/>
      </w:r>
      <w:r w:rsidRPr="00745943">
        <w:tab/>
      </w:r>
      <w:r w:rsidRPr="00745943">
        <w:tab/>
      </w:r>
      <w:r w:rsidRPr="00745943">
        <w:tab/>
        <w:t>73% and up</w:t>
      </w:r>
      <w:r w:rsidRPr="00745943">
        <w:tab/>
      </w:r>
      <w:r w:rsidRPr="00745943">
        <w:tab/>
        <w:t>C</w:t>
      </w:r>
    </w:p>
    <w:p w:rsidR="00E21E58" w:rsidRPr="00745943" w:rsidRDefault="00E21E58" w:rsidP="00E21E58">
      <w:pPr>
        <w:tabs>
          <w:tab w:val="left" w:pos="-720"/>
        </w:tabs>
      </w:pPr>
      <w:r w:rsidRPr="00745943">
        <w:lastRenderedPageBreak/>
        <w:tab/>
      </w:r>
      <w:r w:rsidRPr="00745943">
        <w:tab/>
      </w:r>
      <w:r w:rsidRPr="00745943">
        <w:tab/>
      </w:r>
      <w:r w:rsidRPr="00745943">
        <w:tab/>
        <w:t>70% and up</w:t>
      </w:r>
      <w:r w:rsidRPr="00745943">
        <w:tab/>
      </w:r>
      <w:r w:rsidRPr="00745943">
        <w:tab/>
        <w:t>C-</w:t>
      </w:r>
    </w:p>
    <w:p w:rsidR="00E21E58" w:rsidRPr="00745943" w:rsidRDefault="00E21E58" w:rsidP="00E21E58">
      <w:pPr>
        <w:tabs>
          <w:tab w:val="left" w:pos="-720"/>
        </w:tabs>
      </w:pPr>
      <w:r w:rsidRPr="00745943">
        <w:tab/>
      </w:r>
      <w:r w:rsidRPr="00745943">
        <w:tab/>
      </w:r>
      <w:r w:rsidRPr="00745943">
        <w:tab/>
      </w:r>
      <w:r w:rsidRPr="00745943">
        <w:tab/>
        <w:t>67% and up</w:t>
      </w:r>
      <w:r w:rsidRPr="00745943">
        <w:tab/>
      </w:r>
      <w:r w:rsidRPr="00745943">
        <w:tab/>
        <w:t>D+</w:t>
      </w:r>
    </w:p>
    <w:p w:rsidR="00E21E58" w:rsidRPr="00745943" w:rsidRDefault="00E21E58" w:rsidP="00E21E58">
      <w:pPr>
        <w:tabs>
          <w:tab w:val="left" w:pos="-720"/>
        </w:tabs>
      </w:pPr>
      <w:r w:rsidRPr="00745943">
        <w:tab/>
      </w:r>
      <w:r w:rsidRPr="00745943">
        <w:tab/>
      </w:r>
      <w:r w:rsidRPr="00745943">
        <w:tab/>
      </w:r>
      <w:r w:rsidRPr="00745943">
        <w:tab/>
        <w:t>63% and up</w:t>
      </w:r>
      <w:r w:rsidRPr="00745943">
        <w:tab/>
      </w:r>
      <w:r w:rsidRPr="00745943">
        <w:tab/>
        <w:t>D</w:t>
      </w:r>
    </w:p>
    <w:p w:rsidR="00E21E58" w:rsidRPr="00745943" w:rsidRDefault="00E21E58" w:rsidP="00E21E58">
      <w:pPr>
        <w:tabs>
          <w:tab w:val="left" w:pos="-720"/>
        </w:tabs>
      </w:pPr>
      <w:r w:rsidRPr="00745943">
        <w:tab/>
      </w:r>
      <w:r w:rsidRPr="00745943">
        <w:tab/>
      </w:r>
      <w:r w:rsidRPr="00745943">
        <w:tab/>
      </w:r>
      <w:r w:rsidRPr="00745943">
        <w:tab/>
        <w:t>60% and up</w:t>
      </w:r>
      <w:r w:rsidRPr="00745943">
        <w:tab/>
      </w:r>
      <w:r w:rsidRPr="00745943">
        <w:tab/>
        <w:t>D-</w:t>
      </w:r>
    </w:p>
    <w:p w:rsidR="00E21E58" w:rsidRPr="00745943" w:rsidRDefault="00E21E58" w:rsidP="00E21E58">
      <w:pPr>
        <w:tabs>
          <w:tab w:val="left" w:pos="-720"/>
        </w:tabs>
      </w:pPr>
      <w:r w:rsidRPr="00745943">
        <w:tab/>
      </w:r>
      <w:r w:rsidRPr="00745943">
        <w:tab/>
      </w:r>
      <w:r w:rsidRPr="00745943">
        <w:tab/>
      </w:r>
      <w:r w:rsidRPr="00745943">
        <w:tab/>
        <w:t>59% and below</w:t>
      </w:r>
      <w:r w:rsidRPr="00745943">
        <w:tab/>
        <w:t>F</w:t>
      </w:r>
    </w:p>
    <w:p w:rsidR="00E21E58" w:rsidRPr="00745943" w:rsidRDefault="00E21E58" w:rsidP="00E21E58">
      <w:pPr>
        <w:rPr>
          <w:bCs/>
        </w:rPr>
      </w:pPr>
    </w:p>
    <w:p w:rsidR="00E21E58" w:rsidRPr="00943A6E" w:rsidRDefault="00E21E58" w:rsidP="00E21E58">
      <w:pPr>
        <w:pStyle w:val="ListParagraph"/>
        <w:ind w:left="0"/>
      </w:pPr>
      <w:r w:rsidRPr="00943A6E">
        <w:rPr>
          <w:b/>
        </w:rPr>
        <w:t>The Americans with Disabilities Act</w:t>
      </w:r>
      <w:r w:rsidRPr="00943A6E">
        <w:t xml:space="preserve">. </w:t>
      </w:r>
    </w:p>
    <w:p w:rsidR="00E21E58" w:rsidRPr="00943A6E" w:rsidRDefault="00E21E58" w:rsidP="00E21E58">
      <w:pPr>
        <w:pStyle w:val="ListParagraph"/>
        <w:ind w:left="0"/>
      </w:pPr>
      <w:r w:rsidRPr="00943A6E">
        <w:t xml:space="preserve">The University of Utah seeks to provide equal access to its programs, services, and activities for people with disabilities. If you will need accommodations in this class, reasonable prior notice needs to be given to the Center for Disability Services (CDS; </w:t>
      </w:r>
      <w:hyperlink r:id="rId8" w:history="1">
        <w:r w:rsidRPr="00943A6E">
          <w:rPr>
            <w:rStyle w:val="Hyperlink"/>
          </w:rPr>
          <w:t>http://disability.utah.edu/</w:t>
        </w:r>
      </w:hyperlink>
      <w:r w:rsidRPr="00943A6E">
        <w:t xml:space="preserve">; 162 </w:t>
      </w:r>
      <w:proofErr w:type="spellStart"/>
      <w:r w:rsidRPr="00943A6E">
        <w:t>Olpin</w:t>
      </w:r>
      <w:proofErr w:type="spellEnd"/>
      <w:r w:rsidRPr="00943A6E">
        <w:t xml:space="preserve"> Union Building; (801)-581-5020). CDS will work with you and the instructor to make arrangements for accommodations. All written information in this course can be made available in an alternative format with prior notification to the CDS. </w:t>
      </w:r>
    </w:p>
    <w:p w:rsidR="00E21E58" w:rsidRPr="00943A6E" w:rsidRDefault="00E21E58" w:rsidP="00E21E58">
      <w:pPr>
        <w:pStyle w:val="ListParagraph"/>
        <w:ind w:left="0"/>
      </w:pPr>
    </w:p>
    <w:p w:rsidR="00E21E58" w:rsidRPr="00943A6E" w:rsidRDefault="00E21E58" w:rsidP="00E21E58">
      <w:pPr>
        <w:pStyle w:val="NoSpacing"/>
        <w:rPr>
          <w:rFonts w:ascii="Times New Roman" w:hAnsi="Times New Roman"/>
          <w:sz w:val="24"/>
          <w:szCs w:val="24"/>
        </w:rPr>
      </w:pPr>
      <w:r w:rsidRPr="00943A6E">
        <w:rPr>
          <w:rFonts w:ascii="Times New Roman" w:hAnsi="Times New Roman"/>
          <w:b/>
          <w:sz w:val="24"/>
          <w:szCs w:val="24"/>
        </w:rPr>
        <w:t>Addressing Sexual Misconduct</w:t>
      </w:r>
      <w:r w:rsidRPr="00943A6E">
        <w:rPr>
          <w:rFonts w:ascii="Times New Roman" w:hAnsi="Times New Roman"/>
          <w:sz w:val="24"/>
          <w:szCs w:val="24"/>
        </w:rPr>
        <w:t xml:space="preserve">. </w:t>
      </w:r>
    </w:p>
    <w:p w:rsidR="00E21E58" w:rsidRPr="00943A6E" w:rsidRDefault="00E21E58" w:rsidP="00E21E58">
      <w:pPr>
        <w:pStyle w:val="NoSpacing"/>
        <w:rPr>
          <w:rFonts w:ascii="Times New Roman" w:hAnsi="Times New Roman"/>
          <w:sz w:val="24"/>
          <w:szCs w:val="24"/>
        </w:rPr>
      </w:pPr>
      <w:r w:rsidRPr="00943A6E">
        <w:rPr>
          <w:rFonts w:ascii="Times New Roman" w:hAnsi="Times New Roman"/>
          <w:sz w:val="24"/>
          <w:szCs w:val="24"/>
        </w:rP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rsidR="00E21E58" w:rsidRPr="00943A6E" w:rsidRDefault="00E21E58" w:rsidP="00E21E58">
      <w:pPr>
        <w:pStyle w:val="ListParagraph"/>
        <w:ind w:left="0"/>
      </w:pPr>
    </w:p>
    <w:p w:rsidR="00E21E58" w:rsidRPr="00943A6E" w:rsidRDefault="00E21E58" w:rsidP="00E21E58">
      <w:pPr>
        <w:pStyle w:val="NoSpacing"/>
        <w:rPr>
          <w:rFonts w:ascii="Times New Roman" w:hAnsi="Times New Roman"/>
          <w:sz w:val="24"/>
          <w:szCs w:val="24"/>
        </w:rPr>
      </w:pPr>
      <w:r w:rsidRPr="00943A6E">
        <w:rPr>
          <w:rFonts w:ascii="Times New Roman" w:hAnsi="Times New Roman"/>
          <w:b/>
          <w:sz w:val="24"/>
          <w:szCs w:val="24"/>
        </w:rPr>
        <w:t>The Code of Student Rights and Responsibilities</w:t>
      </w:r>
      <w:r w:rsidRPr="00943A6E">
        <w:rPr>
          <w:rFonts w:ascii="Times New Roman" w:hAnsi="Times New Roman"/>
          <w:sz w:val="24"/>
          <w:szCs w:val="24"/>
        </w:rPr>
        <w:t xml:space="preserve">. </w:t>
      </w:r>
    </w:p>
    <w:p w:rsidR="00E21E58" w:rsidRPr="00943A6E" w:rsidRDefault="00E21E58" w:rsidP="00E21E58">
      <w:pPr>
        <w:pStyle w:val="NoSpacing"/>
        <w:rPr>
          <w:rFonts w:ascii="Times New Roman" w:hAnsi="Times New Roman"/>
          <w:sz w:val="24"/>
          <w:szCs w:val="24"/>
        </w:rPr>
      </w:pPr>
      <w:r w:rsidRPr="00943A6E">
        <w:rPr>
          <w:rFonts w:ascii="Times New Roman" w:hAnsi="Times New Roman"/>
          <w:sz w:val="24"/>
          <w:szCs w:val="24"/>
        </w:rPr>
        <w:t xml:space="preserve">The code, which specifies student rights as well as conduct involving cheating, plagiarism, collusion, fraud, theft, etc., is provided at </w:t>
      </w:r>
      <w:hyperlink r:id="rId9" w:history="1">
        <w:r w:rsidRPr="00943A6E">
          <w:rPr>
            <w:rStyle w:val="Hyperlink"/>
            <w:rFonts w:ascii="Times New Roman" w:hAnsi="Times New Roman"/>
            <w:sz w:val="24"/>
            <w:szCs w:val="24"/>
          </w:rPr>
          <w:t>http://regulations.utah.edu/academics/6-400.php</w:t>
        </w:r>
      </w:hyperlink>
      <w:r w:rsidRPr="00943A6E">
        <w:rPr>
          <w:rFonts w:ascii="Times New Roman" w:hAnsi="Times New Roman"/>
          <w:sz w:val="24"/>
          <w:szCs w:val="24"/>
        </w:rPr>
        <w:t xml:space="preserve">. </w:t>
      </w:r>
    </w:p>
    <w:p w:rsidR="00E21E58" w:rsidRPr="00943A6E" w:rsidRDefault="00E21E58" w:rsidP="00E21E58">
      <w:pPr>
        <w:pStyle w:val="ListParagraph"/>
        <w:ind w:left="0"/>
        <w:rPr>
          <w:b/>
        </w:rPr>
      </w:pPr>
    </w:p>
    <w:p w:rsidR="00E21E58" w:rsidRPr="00943A6E" w:rsidRDefault="00E21E58" w:rsidP="00E21E58">
      <w:pPr>
        <w:pStyle w:val="NoSpacing"/>
        <w:rPr>
          <w:rFonts w:ascii="Times New Roman" w:hAnsi="Times New Roman"/>
          <w:b/>
          <w:sz w:val="24"/>
          <w:szCs w:val="24"/>
        </w:rPr>
      </w:pPr>
      <w:r w:rsidRPr="00943A6E">
        <w:rPr>
          <w:rFonts w:ascii="Times New Roman" w:hAnsi="Times New Roman"/>
          <w:b/>
          <w:sz w:val="24"/>
          <w:szCs w:val="24"/>
        </w:rPr>
        <w:t>Wellness Statement</w:t>
      </w:r>
      <w:r w:rsidRPr="00943A6E">
        <w:rPr>
          <w:rFonts w:ascii="Times New Roman" w:hAnsi="Times New Roman"/>
          <w:sz w:val="24"/>
          <w:szCs w:val="24"/>
        </w:rPr>
        <w:t>.</w:t>
      </w:r>
      <w:r w:rsidRPr="00943A6E">
        <w:rPr>
          <w:rFonts w:ascii="Times New Roman" w:hAnsi="Times New Roman"/>
          <w:b/>
          <w:sz w:val="24"/>
          <w:szCs w:val="24"/>
        </w:rPr>
        <w:t xml:space="preserve"> </w:t>
      </w:r>
    </w:p>
    <w:p w:rsidR="00E21E58" w:rsidRPr="00943A6E" w:rsidRDefault="00E21E58" w:rsidP="00E21E58">
      <w:pPr>
        <w:pStyle w:val="NoSpacing"/>
        <w:rPr>
          <w:rFonts w:ascii="Times New Roman" w:hAnsi="Times New Roman"/>
          <w:sz w:val="24"/>
          <w:szCs w:val="24"/>
        </w:rPr>
      </w:pPr>
      <w:r w:rsidRPr="00943A6E">
        <w:rPr>
          <w:rFonts w:ascii="Times New Roman" w:hAnsi="Times New Roman"/>
          <w:sz w:val="24"/>
          <w:szCs w:val="24"/>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w:t>
      </w:r>
      <w:hyperlink r:id="rId10" w:history="1">
        <w:r w:rsidRPr="00943A6E">
          <w:rPr>
            <w:rStyle w:val="Hyperlink"/>
            <w:rFonts w:ascii="Times New Roman" w:hAnsi="Times New Roman"/>
            <w:sz w:val="24"/>
            <w:szCs w:val="24"/>
          </w:rPr>
          <w:t>http://wellness.utah.edu/</w:t>
        </w:r>
      </w:hyperlink>
      <w:r w:rsidRPr="00943A6E">
        <w:rPr>
          <w:rFonts w:ascii="Times New Roman" w:hAnsi="Times New Roman"/>
          <w:sz w:val="24"/>
          <w:szCs w:val="24"/>
        </w:rPr>
        <w:t>; 801-581-7776.</w:t>
      </w:r>
    </w:p>
    <w:p w:rsidR="00E21E58" w:rsidRPr="0075477A" w:rsidRDefault="00E21E58" w:rsidP="00E21E58">
      <w:pPr>
        <w:pStyle w:val="NoSpacing"/>
        <w:ind w:left="360"/>
        <w:rPr>
          <w:rFonts w:ascii="Arial" w:hAnsi="Arial" w:cs="Arial"/>
          <w:sz w:val="24"/>
          <w:szCs w:val="24"/>
        </w:rPr>
      </w:pPr>
    </w:p>
    <w:p w:rsidR="00E21E58" w:rsidRPr="00745943" w:rsidRDefault="00E21E58" w:rsidP="00E21E58">
      <w:r w:rsidRPr="00745943">
        <w:rPr>
          <w:b/>
        </w:rPr>
        <w:t>Course Attendance</w:t>
      </w:r>
      <w:r w:rsidRPr="00745943">
        <w:t>:</w:t>
      </w:r>
    </w:p>
    <w:p w:rsidR="00E21E58" w:rsidRPr="00745943" w:rsidRDefault="00E21E58" w:rsidP="00E21E58">
      <w:r w:rsidRPr="00745943">
        <w:t xml:space="preserve">Students </w:t>
      </w:r>
      <w:r w:rsidRPr="00745943">
        <w:rPr>
          <w:b/>
        </w:rPr>
        <w:t>are expected to be in class</w:t>
      </w:r>
      <w:r w:rsidRPr="00745943">
        <w:t xml:space="preserve">. </w:t>
      </w:r>
      <w:r>
        <w:t>If you need to miss class, then contact Professor Jensen ASAP. Unexcused absences will drop the student’s final letter grade by 1/3</w:t>
      </w:r>
      <w:r w:rsidRPr="006C0BEA">
        <w:rPr>
          <w:vertAlign w:val="superscript"/>
        </w:rPr>
        <w:t>rd</w:t>
      </w:r>
      <w:r>
        <w:t xml:space="preserve"> (for every absence).</w:t>
      </w:r>
    </w:p>
    <w:p w:rsidR="00E21E58" w:rsidRPr="00745943" w:rsidRDefault="00E21E58" w:rsidP="00E21E58">
      <w:pPr>
        <w:rPr>
          <w:b/>
        </w:rPr>
      </w:pPr>
    </w:p>
    <w:p w:rsidR="00E21E58" w:rsidRPr="00745943" w:rsidRDefault="00E21E58" w:rsidP="00E21E58">
      <w:r w:rsidRPr="00745943">
        <w:rPr>
          <w:b/>
        </w:rPr>
        <w:t>Note</w:t>
      </w:r>
      <w:r w:rsidRPr="00745943">
        <w:t>:</w:t>
      </w:r>
    </w:p>
    <w:p w:rsidR="00E21E58" w:rsidRPr="004970D2" w:rsidRDefault="00E21E58" w:rsidP="00E21E58">
      <w:r w:rsidRPr="00745943">
        <w:t>Professor Jensen reserves the right to alter this syllabus at any time. He will announce any changes in class. Students are expected to routinely check the online syllabus for changes.</w:t>
      </w:r>
    </w:p>
    <w:p w:rsidR="00E21E58" w:rsidRDefault="00E21E58" w:rsidP="00C57B0A"/>
    <w:p w:rsidR="009A48B7" w:rsidRDefault="009A48B7" w:rsidP="00C57B0A"/>
    <w:p w:rsidR="00470F2E" w:rsidRDefault="00470F2E" w:rsidP="00C57B0A"/>
    <w:p w:rsidR="00943A6E" w:rsidRDefault="00943A6E" w:rsidP="00C57B0A">
      <w:pPr>
        <w:rPr>
          <w:b/>
        </w:rPr>
      </w:pPr>
    </w:p>
    <w:p w:rsidR="00470F2E" w:rsidRPr="00470F2E" w:rsidRDefault="00470F2E" w:rsidP="00C57B0A">
      <w:pPr>
        <w:rPr>
          <w:b/>
        </w:rPr>
      </w:pPr>
      <w:r w:rsidRPr="00470F2E">
        <w:rPr>
          <w:b/>
        </w:rPr>
        <w:t>Fall 2016 Calendar</w:t>
      </w:r>
    </w:p>
    <w:p w:rsidR="00D06DD2" w:rsidRDefault="00D06DD2" w:rsidP="00C57B0A"/>
    <w:tbl>
      <w:tblPr>
        <w:tblStyle w:val="TableGrid"/>
        <w:tblW w:w="0" w:type="auto"/>
        <w:tblLook w:val="04A0" w:firstRow="1" w:lastRow="0" w:firstColumn="1" w:lastColumn="0" w:noHBand="0" w:noVBand="1"/>
      </w:tblPr>
      <w:tblGrid>
        <w:gridCol w:w="1075"/>
        <w:gridCol w:w="8275"/>
      </w:tblGrid>
      <w:tr w:rsidR="00C14ACA" w:rsidTr="00E117E8">
        <w:tc>
          <w:tcPr>
            <w:tcW w:w="1075" w:type="dxa"/>
          </w:tcPr>
          <w:p w:rsidR="00C14ACA" w:rsidRDefault="00C14ACA" w:rsidP="00E117E8">
            <w:r>
              <w:t>Day 1:</w:t>
            </w:r>
          </w:p>
          <w:p w:rsidR="00C14ACA" w:rsidRDefault="00C14ACA" w:rsidP="00E117E8">
            <w:r>
              <w:t>Aug 26</w:t>
            </w:r>
          </w:p>
        </w:tc>
        <w:tc>
          <w:tcPr>
            <w:tcW w:w="8275" w:type="dxa"/>
          </w:tcPr>
          <w:p w:rsidR="00C14ACA" w:rsidRPr="00D50838" w:rsidRDefault="00C14ACA" w:rsidP="00E117E8">
            <w:pPr>
              <w:pStyle w:val="ListParagraph"/>
              <w:ind w:left="0"/>
              <w:rPr>
                <w:b/>
              </w:rPr>
            </w:pPr>
            <w:r w:rsidRPr="00D50838">
              <w:rPr>
                <w:b/>
              </w:rPr>
              <w:t>Explicating Constructs</w:t>
            </w:r>
          </w:p>
          <w:p w:rsidR="00C14ACA" w:rsidRDefault="00C14ACA" w:rsidP="00C14ACA">
            <w:pPr>
              <w:pStyle w:val="ListParagraph"/>
              <w:numPr>
                <w:ilvl w:val="0"/>
                <w:numId w:val="2"/>
              </w:numPr>
            </w:pPr>
            <w:r>
              <w:t xml:space="preserve">Chaffee, S. H. (1991). </w:t>
            </w:r>
            <w:r w:rsidRPr="00C07591">
              <w:rPr>
                <w:i/>
              </w:rPr>
              <w:t>Explication</w:t>
            </w:r>
            <w:r>
              <w:t xml:space="preserve">. Newbury Park, CA: Sage. </w:t>
            </w:r>
          </w:p>
          <w:p w:rsidR="00C14ACA" w:rsidRDefault="00C14ACA" w:rsidP="00E117E8"/>
          <w:p w:rsidR="00C14ACA" w:rsidRDefault="00C14ACA" w:rsidP="00E117E8">
            <w:r>
              <w:t>Optional Reading:</w:t>
            </w:r>
          </w:p>
          <w:p w:rsidR="00C14ACA" w:rsidRDefault="00C14ACA" w:rsidP="00C14ACA">
            <w:pPr>
              <w:pStyle w:val="ListParagraph"/>
              <w:numPr>
                <w:ilvl w:val="0"/>
                <w:numId w:val="2"/>
              </w:numPr>
            </w:pPr>
            <w:proofErr w:type="spellStart"/>
            <w:r w:rsidRPr="008E1286">
              <w:t>McCroskey</w:t>
            </w:r>
            <w:proofErr w:type="spellEnd"/>
            <w:r w:rsidRPr="008E1286">
              <w:t xml:space="preserve">, J. C. (1997). Willingness to Communicate, Communication Apprehension, and Self-Perceived Communication Competence: Conceptualizations and Perspectives. In Daly, et al. </w:t>
            </w:r>
            <w:r w:rsidRPr="00466FF1">
              <w:rPr>
                <w:i/>
              </w:rPr>
              <w:t>Avoiding communication: Shyness, Reticence, &amp; Communication Apprehension</w:t>
            </w:r>
            <w:r w:rsidRPr="008E1286">
              <w:t>, (pp. 75-108). Cresskill, NJ: Hampton Press.</w:t>
            </w:r>
          </w:p>
          <w:p w:rsidR="00C14ACA" w:rsidRDefault="00C14ACA" w:rsidP="00C14ACA">
            <w:pPr>
              <w:pStyle w:val="ListParagraph"/>
              <w:numPr>
                <w:ilvl w:val="0"/>
                <w:numId w:val="2"/>
              </w:numPr>
            </w:pPr>
            <w:proofErr w:type="spellStart"/>
            <w:r>
              <w:t>Baumeister</w:t>
            </w:r>
            <w:proofErr w:type="spellEnd"/>
            <w:r>
              <w:t xml:space="preserve">, R. F., &amp; Leary, M. R. (1995). The need to belong: Desire for interpersonal attachments as a fundamental human motivation. </w:t>
            </w:r>
            <w:r w:rsidRPr="00466FF1">
              <w:rPr>
                <w:i/>
              </w:rPr>
              <w:t>Psychological Bulletin</w:t>
            </w:r>
            <w:r>
              <w:t xml:space="preserve">, </w:t>
            </w:r>
            <w:r w:rsidRPr="00466FF1">
              <w:rPr>
                <w:i/>
              </w:rPr>
              <w:t>117</w:t>
            </w:r>
            <w:r>
              <w:t>(3), 497-529.</w:t>
            </w:r>
          </w:p>
          <w:p w:rsidR="00C14ACA" w:rsidRDefault="00C14ACA" w:rsidP="00C14ACA">
            <w:pPr>
              <w:pStyle w:val="ListParagraph"/>
              <w:numPr>
                <w:ilvl w:val="0"/>
                <w:numId w:val="2"/>
              </w:numPr>
            </w:pPr>
            <w:proofErr w:type="spellStart"/>
            <w:r>
              <w:t>Harreveld</w:t>
            </w:r>
            <w:proofErr w:type="spellEnd"/>
            <w:r>
              <w:t xml:space="preserve">, F., </w:t>
            </w:r>
            <w:proofErr w:type="spellStart"/>
            <w:r>
              <w:t>Nohlen</w:t>
            </w:r>
            <w:proofErr w:type="spellEnd"/>
            <w:r>
              <w:t xml:space="preserve">, H. U., &amp; Schneider, I. K. (2015). The ABC of ambivalence: Affective, behavioral, and cognitive consequences of attitudinal conflict. </w:t>
            </w:r>
            <w:r w:rsidRPr="00466FF1">
              <w:rPr>
                <w:i/>
              </w:rPr>
              <w:t>Advances in Experimental Social Psychology</w:t>
            </w:r>
            <w:r>
              <w:t xml:space="preserve">, </w:t>
            </w:r>
            <w:r w:rsidRPr="00466FF1">
              <w:rPr>
                <w:i/>
              </w:rPr>
              <w:t>52</w:t>
            </w:r>
            <w:r>
              <w:t>, 285-324.</w:t>
            </w:r>
          </w:p>
          <w:p w:rsidR="00C14ACA" w:rsidRDefault="00C14ACA" w:rsidP="00E117E8">
            <w:pPr>
              <w:pStyle w:val="ListParagraph"/>
            </w:pPr>
          </w:p>
        </w:tc>
      </w:tr>
      <w:tr w:rsidR="00C14ACA" w:rsidTr="00E117E8">
        <w:tc>
          <w:tcPr>
            <w:tcW w:w="1075" w:type="dxa"/>
          </w:tcPr>
          <w:p w:rsidR="00C14ACA" w:rsidRDefault="00C14ACA" w:rsidP="00E117E8">
            <w:r>
              <w:t>Day 2:</w:t>
            </w:r>
          </w:p>
          <w:p w:rsidR="00C14ACA" w:rsidRDefault="00C14ACA" w:rsidP="00E117E8">
            <w:r>
              <w:t>Sept 2</w:t>
            </w:r>
          </w:p>
        </w:tc>
        <w:tc>
          <w:tcPr>
            <w:tcW w:w="8275" w:type="dxa"/>
          </w:tcPr>
          <w:p w:rsidR="00C14ACA" w:rsidRPr="00CE24E8" w:rsidRDefault="00C14ACA" w:rsidP="00E117E8">
            <w:pPr>
              <w:pStyle w:val="ListParagraph"/>
              <w:ind w:left="-14"/>
              <w:rPr>
                <w:b/>
              </w:rPr>
            </w:pPr>
            <w:r>
              <w:rPr>
                <w:b/>
              </w:rPr>
              <w:t xml:space="preserve">Explication Debate: </w:t>
            </w:r>
            <w:r w:rsidRPr="00CE24E8">
              <w:rPr>
                <w:b/>
              </w:rPr>
              <w:t>The Confounded Self-Efficacy Construct</w:t>
            </w:r>
          </w:p>
          <w:p w:rsidR="00C14ACA" w:rsidRDefault="00C14ACA" w:rsidP="00C14ACA">
            <w:pPr>
              <w:pStyle w:val="ListParagraph"/>
              <w:numPr>
                <w:ilvl w:val="0"/>
                <w:numId w:val="18"/>
              </w:numPr>
            </w:pPr>
            <w:r>
              <w:t xml:space="preserve">Williams, D. M., &amp; Rhodes, R. E. (2016). The confounded self-efficacy construct: Conceptual analysis and recommendations for future research. </w:t>
            </w:r>
            <w:r w:rsidRPr="00CE24E8">
              <w:rPr>
                <w:i/>
              </w:rPr>
              <w:t>Health Psychology Review, 10</w:t>
            </w:r>
            <w:r>
              <w:t>(2), 113-128.</w:t>
            </w:r>
          </w:p>
          <w:p w:rsidR="00C14ACA" w:rsidRDefault="00C14ACA" w:rsidP="00E117E8">
            <w:pPr>
              <w:pStyle w:val="ListParagraph"/>
              <w:ind w:left="706"/>
            </w:pPr>
          </w:p>
          <w:p w:rsidR="00C14ACA" w:rsidRDefault="00C14ACA" w:rsidP="00C14ACA">
            <w:pPr>
              <w:pStyle w:val="ListParagraph"/>
              <w:numPr>
                <w:ilvl w:val="0"/>
                <w:numId w:val="18"/>
              </w:numPr>
            </w:pPr>
            <w:r>
              <w:t xml:space="preserve">Beauchamp, M. R. (2016). Disentangling motivation from self-efficacy: Implications for measurement, theory-development, and intervention. </w:t>
            </w:r>
            <w:r w:rsidRPr="00CE24E8">
              <w:rPr>
                <w:i/>
              </w:rPr>
              <w:t>Health Psychology Review, 10</w:t>
            </w:r>
            <w:r>
              <w:t>(2), 129-132.</w:t>
            </w:r>
          </w:p>
          <w:p w:rsidR="00C14ACA" w:rsidRDefault="00C14ACA" w:rsidP="00C14ACA">
            <w:pPr>
              <w:pStyle w:val="ListParagraph"/>
              <w:numPr>
                <w:ilvl w:val="0"/>
                <w:numId w:val="18"/>
              </w:numPr>
            </w:pPr>
            <w:proofErr w:type="spellStart"/>
            <w:r>
              <w:t>Schwarzer</w:t>
            </w:r>
            <w:proofErr w:type="spellEnd"/>
            <w:r>
              <w:t xml:space="preserve">, R., &amp; </w:t>
            </w:r>
            <w:proofErr w:type="spellStart"/>
            <w:r>
              <w:t>McAuley</w:t>
            </w:r>
            <w:proofErr w:type="spellEnd"/>
            <w:r>
              <w:t xml:space="preserve">, E. (2016). The world is confounded: A comment on Williams and Rhodes (2016). </w:t>
            </w:r>
            <w:r w:rsidRPr="00CE24E8">
              <w:rPr>
                <w:i/>
              </w:rPr>
              <w:t>Health Psychology Review, 10</w:t>
            </w:r>
            <w:r>
              <w:t>(2), 133-135.</w:t>
            </w:r>
          </w:p>
          <w:p w:rsidR="00C14ACA" w:rsidRDefault="00C14ACA" w:rsidP="00C14ACA">
            <w:pPr>
              <w:pStyle w:val="ListParagraph"/>
              <w:numPr>
                <w:ilvl w:val="0"/>
                <w:numId w:val="18"/>
              </w:numPr>
            </w:pPr>
            <w:r>
              <w:t xml:space="preserve">Brewer, N. T. (2014). Building better boxes for theories of behavior: A comment on Williams and Rhodes (2016). </w:t>
            </w:r>
            <w:r w:rsidRPr="00CE24E8">
              <w:rPr>
                <w:i/>
              </w:rPr>
              <w:t>Health Psychology Review, 10</w:t>
            </w:r>
            <w:r>
              <w:t>(2), 136-139.</w:t>
            </w:r>
          </w:p>
          <w:p w:rsidR="00C14ACA" w:rsidRDefault="00C14ACA" w:rsidP="00C14ACA">
            <w:pPr>
              <w:pStyle w:val="ListParagraph"/>
              <w:numPr>
                <w:ilvl w:val="0"/>
                <w:numId w:val="18"/>
              </w:numPr>
            </w:pPr>
            <w:r>
              <w:t xml:space="preserve">de </w:t>
            </w:r>
            <w:proofErr w:type="spellStart"/>
            <w:r>
              <w:t>Vries</w:t>
            </w:r>
            <w:proofErr w:type="spellEnd"/>
            <w:r>
              <w:t>, H. (2016). Self-efficacy</w:t>
            </w:r>
            <w:r w:rsidR="00943A6E">
              <w:t>:</w:t>
            </w:r>
            <w:r>
              <w:t xml:space="preserve"> Skip the main factor paradigm! A comment on Williams and Rhodes (2016). </w:t>
            </w:r>
            <w:r w:rsidRPr="00CE24E8">
              <w:rPr>
                <w:i/>
              </w:rPr>
              <w:t>Health Psychology Review, 10</w:t>
            </w:r>
            <w:r>
              <w:t>(2), 140-143.</w:t>
            </w:r>
          </w:p>
          <w:p w:rsidR="00C14ACA" w:rsidRDefault="00C14ACA" w:rsidP="00E117E8">
            <w:pPr>
              <w:pStyle w:val="ListParagraph"/>
              <w:ind w:left="706"/>
            </w:pPr>
          </w:p>
          <w:p w:rsidR="00C14ACA" w:rsidRDefault="00C14ACA" w:rsidP="00C14ACA">
            <w:pPr>
              <w:pStyle w:val="ListParagraph"/>
              <w:numPr>
                <w:ilvl w:val="0"/>
                <w:numId w:val="18"/>
              </w:numPr>
            </w:pPr>
            <w:r>
              <w:t xml:space="preserve">Williams, D. M., &amp; Rhodes, R. E. (2016). Reviving the critical distinction between perceived capability and motivation: A response to commentaries. </w:t>
            </w:r>
            <w:r w:rsidRPr="00CE24E8">
              <w:rPr>
                <w:i/>
              </w:rPr>
              <w:t>Health Psychology Review, 10</w:t>
            </w:r>
            <w:r>
              <w:t>(2), 144-147.</w:t>
            </w:r>
          </w:p>
          <w:p w:rsidR="00C14ACA" w:rsidRDefault="00C14ACA" w:rsidP="00E117E8">
            <w:pPr>
              <w:pStyle w:val="ListParagraph"/>
              <w:ind w:left="706"/>
            </w:pPr>
          </w:p>
        </w:tc>
      </w:tr>
      <w:tr w:rsidR="00C14ACA" w:rsidTr="00E117E8">
        <w:tc>
          <w:tcPr>
            <w:tcW w:w="1075" w:type="dxa"/>
          </w:tcPr>
          <w:p w:rsidR="00C14ACA" w:rsidRDefault="00C14ACA" w:rsidP="00E117E8">
            <w:r>
              <w:t>Day 3:</w:t>
            </w:r>
          </w:p>
          <w:p w:rsidR="00C14ACA" w:rsidRDefault="00C14ACA" w:rsidP="00E117E8">
            <w:r>
              <w:t>Sept 9</w:t>
            </w:r>
          </w:p>
          <w:p w:rsidR="00C14ACA" w:rsidRDefault="00C14ACA" w:rsidP="00E117E8"/>
        </w:tc>
        <w:tc>
          <w:tcPr>
            <w:tcW w:w="8275" w:type="dxa"/>
          </w:tcPr>
          <w:p w:rsidR="00C14ACA" w:rsidRPr="001649AF" w:rsidRDefault="00943A6E" w:rsidP="00E117E8">
            <w:pPr>
              <w:rPr>
                <w:b/>
              </w:rPr>
            </w:pPr>
            <w:r>
              <w:rPr>
                <w:b/>
              </w:rPr>
              <w:t>Communication Theory as a</w:t>
            </w:r>
            <w:r w:rsidR="00C14ACA" w:rsidRPr="001649AF">
              <w:rPr>
                <w:b/>
              </w:rPr>
              <w:t xml:space="preserve"> Field</w:t>
            </w:r>
          </w:p>
          <w:p w:rsidR="00C14ACA" w:rsidRDefault="00C14ACA" w:rsidP="00C14ACA">
            <w:pPr>
              <w:pStyle w:val="ListParagraph"/>
              <w:numPr>
                <w:ilvl w:val="0"/>
                <w:numId w:val="6"/>
              </w:numPr>
            </w:pPr>
            <w:r>
              <w:t xml:space="preserve">Craig, R. T. (1999). Communication theory as a field. </w:t>
            </w:r>
            <w:r w:rsidRPr="001649AF">
              <w:rPr>
                <w:i/>
              </w:rPr>
              <w:t>Communication Theory</w:t>
            </w:r>
            <w:r>
              <w:t xml:space="preserve">, </w:t>
            </w:r>
            <w:r w:rsidRPr="001649AF">
              <w:rPr>
                <w:i/>
              </w:rPr>
              <w:t>9</w:t>
            </w:r>
            <w:r>
              <w:t>(2), 119-161.</w:t>
            </w:r>
          </w:p>
          <w:p w:rsidR="00C14ACA" w:rsidRDefault="00C14ACA" w:rsidP="00E117E8"/>
          <w:p w:rsidR="00C14ACA" w:rsidRDefault="00C14ACA" w:rsidP="00E117E8">
            <w:r>
              <w:lastRenderedPageBreak/>
              <w:t>Optional Readings:</w:t>
            </w:r>
          </w:p>
          <w:p w:rsidR="00C14ACA" w:rsidRDefault="00C14ACA" w:rsidP="00C14ACA">
            <w:pPr>
              <w:pStyle w:val="ListParagraph"/>
              <w:numPr>
                <w:ilvl w:val="0"/>
                <w:numId w:val="6"/>
              </w:numPr>
            </w:pPr>
            <w:r>
              <w:t xml:space="preserve">Ch. 1 from: </w:t>
            </w:r>
            <w:r w:rsidRPr="00412F68">
              <w:t>Littlej</w:t>
            </w:r>
            <w:r>
              <w:t>ohn, S. W., &amp; Foss, K. A.  (2008</w:t>
            </w:r>
            <w:r w:rsidRPr="00412F68">
              <w:t xml:space="preserve">). </w:t>
            </w:r>
            <w:r w:rsidRPr="00466FF1">
              <w:rPr>
                <w:i/>
              </w:rPr>
              <w:t>Theories of human communication</w:t>
            </w:r>
            <w:r>
              <w:t>. 9</w:t>
            </w:r>
            <w:r w:rsidRPr="00412F68">
              <w:t xml:space="preserve">th ed. </w:t>
            </w:r>
            <w:r>
              <w:t>Belmont, CA: Thomas Wadsworth.</w:t>
            </w:r>
          </w:p>
          <w:p w:rsidR="00C14ACA" w:rsidRDefault="00C14ACA" w:rsidP="001E4142">
            <w:pPr>
              <w:pStyle w:val="ListParagraph"/>
            </w:pPr>
          </w:p>
        </w:tc>
      </w:tr>
      <w:tr w:rsidR="00C14ACA" w:rsidTr="00E117E8">
        <w:tc>
          <w:tcPr>
            <w:tcW w:w="1075" w:type="dxa"/>
          </w:tcPr>
          <w:p w:rsidR="00C14ACA" w:rsidRDefault="00C14ACA" w:rsidP="00E117E8">
            <w:r>
              <w:lastRenderedPageBreak/>
              <w:t>Day 4:</w:t>
            </w:r>
          </w:p>
          <w:p w:rsidR="00C14ACA" w:rsidRDefault="00C14ACA" w:rsidP="00E117E8">
            <w:r>
              <w:t>Sept 16</w:t>
            </w:r>
          </w:p>
        </w:tc>
        <w:tc>
          <w:tcPr>
            <w:tcW w:w="8275" w:type="dxa"/>
          </w:tcPr>
          <w:p w:rsidR="00C14ACA" w:rsidRPr="00D50838" w:rsidRDefault="00C14ACA" w:rsidP="00E117E8">
            <w:pPr>
              <w:pStyle w:val="ListParagraph"/>
              <w:ind w:left="0"/>
              <w:rPr>
                <w:b/>
              </w:rPr>
            </w:pPr>
            <w:r w:rsidRPr="00D50838">
              <w:rPr>
                <w:b/>
              </w:rPr>
              <w:t>Theory &amp; Communication Science</w:t>
            </w:r>
          </w:p>
          <w:p w:rsidR="00C14ACA" w:rsidRDefault="00C14ACA" w:rsidP="00C14ACA">
            <w:pPr>
              <w:pStyle w:val="ListParagraph"/>
              <w:numPr>
                <w:ilvl w:val="0"/>
                <w:numId w:val="14"/>
              </w:numPr>
            </w:pPr>
            <w:r>
              <w:t xml:space="preserve">Slater, M. D., &amp; Gleason, L. S. (2012). Contribution to theory and knowledge in quantitative communication science. </w:t>
            </w:r>
            <w:r w:rsidRPr="00035B30">
              <w:rPr>
                <w:i/>
              </w:rPr>
              <w:t>Communication Methods &amp; Measures</w:t>
            </w:r>
            <w:r>
              <w:t xml:space="preserve">, </w:t>
            </w:r>
            <w:r w:rsidRPr="00035B30">
              <w:rPr>
                <w:i/>
              </w:rPr>
              <w:t>6</w:t>
            </w:r>
            <w:r>
              <w:t>, 215-236.</w:t>
            </w:r>
          </w:p>
          <w:p w:rsidR="00C14ACA" w:rsidRDefault="00C14ACA" w:rsidP="00E117E8">
            <w:pPr>
              <w:pStyle w:val="ListParagraph"/>
            </w:pPr>
          </w:p>
          <w:p w:rsidR="00C14ACA" w:rsidRDefault="00C14ACA" w:rsidP="00E117E8">
            <w:r>
              <w:t>Optional Reading:</w:t>
            </w:r>
          </w:p>
          <w:p w:rsidR="00C14ACA" w:rsidRDefault="00C14ACA" w:rsidP="00C14ACA">
            <w:pPr>
              <w:pStyle w:val="ListParagraph"/>
              <w:numPr>
                <w:ilvl w:val="0"/>
                <w:numId w:val="14"/>
              </w:numPr>
            </w:pPr>
            <w:r>
              <w:t xml:space="preserve">Slater, M. D., Peter, J., &amp; </w:t>
            </w:r>
            <w:proofErr w:type="spellStart"/>
            <w:r>
              <w:t>Valkenburg</w:t>
            </w:r>
            <w:proofErr w:type="spellEnd"/>
            <w:r>
              <w:t xml:space="preserve">, P. M. (2015). Message variability and heterogeneity: A core challenge for communication research. </w:t>
            </w:r>
            <w:r w:rsidRPr="00466FF1">
              <w:rPr>
                <w:i/>
              </w:rPr>
              <w:t>Communication Yearbook, 39</w:t>
            </w:r>
            <w:r>
              <w:t xml:space="preserve">, 3-32. </w:t>
            </w:r>
          </w:p>
          <w:p w:rsidR="001E4142" w:rsidRDefault="001E4142" w:rsidP="00C14ACA">
            <w:pPr>
              <w:pStyle w:val="ListParagraph"/>
              <w:numPr>
                <w:ilvl w:val="0"/>
                <w:numId w:val="14"/>
              </w:numPr>
            </w:pPr>
            <w:r>
              <w:t xml:space="preserve">O’Keefe, D. J. (2003). Message properties, mediating states, and manipulation checks: Claims, evidence, and data analysis in experimental persuasive message effects research. </w:t>
            </w:r>
            <w:r w:rsidRPr="001E4142">
              <w:rPr>
                <w:i/>
              </w:rPr>
              <w:t>Communication Theory, 13</w:t>
            </w:r>
            <w:r>
              <w:t>(3), 251-274.</w:t>
            </w:r>
          </w:p>
          <w:p w:rsidR="00C14ACA" w:rsidRDefault="00C14ACA" w:rsidP="001E4142">
            <w:pPr>
              <w:pStyle w:val="ListParagraph"/>
            </w:pPr>
          </w:p>
        </w:tc>
      </w:tr>
      <w:tr w:rsidR="00C14ACA" w:rsidTr="00E117E8">
        <w:tc>
          <w:tcPr>
            <w:tcW w:w="1075" w:type="dxa"/>
          </w:tcPr>
          <w:p w:rsidR="00C14ACA" w:rsidRDefault="00C14ACA" w:rsidP="00E117E8">
            <w:r>
              <w:t>Day 5:</w:t>
            </w:r>
          </w:p>
          <w:p w:rsidR="00C14ACA" w:rsidRDefault="00C14ACA" w:rsidP="00E117E8">
            <w:r>
              <w:t>Sept 23</w:t>
            </w:r>
          </w:p>
        </w:tc>
        <w:tc>
          <w:tcPr>
            <w:tcW w:w="8275" w:type="dxa"/>
          </w:tcPr>
          <w:p w:rsidR="00C14ACA" w:rsidRDefault="00C14ACA" w:rsidP="00E117E8">
            <w:pPr>
              <w:pStyle w:val="ListParagraph"/>
              <w:ind w:left="0"/>
              <w:rPr>
                <w:b/>
              </w:rPr>
            </w:pPr>
            <w:r>
              <w:rPr>
                <w:b/>
              </w:rPr>
              <w:t>Theory</w:t>
            </w:r>
            <w:r w:rsidRPr="003D7866">
              <w:rPr>
                <w:b/>
              </w:rPr>
              <w:t xml:space="preserve">: </w:t>
            </w:r>
            <w:r>
              <w:rPr>
                <w:b/>
              </w:rPr>
              <w:t>5 Examples</w:t>
            </w:r>
          </w:p>
          <w:p w:rsidR="00C14ACA" w:rsidRDefault="00C14ACA" w:rsidP="00E117E8">
            <w:pPr>
              <w:pStyle w:val="ListParagraph"/>
              <w:ind w:left="0"/>
              <w:rPr>
                <w:b/>
              </w:rPr>
            </w:pPr>
          </w:p>
          <w:p w:rsidR="00C14ACA" w:rsidRPr="003275D6" w:rsidRDefault="00C14ACA" w:rsidP="00E117E8">
            <w:pPr>
              <w:pStyle w:val="ListParagraph"/>
              <w:ind w:left="0"/>
            </w:pPr>
            <w:r w:rsidRPr="003275D6">
              <w:t>Inoculation Theory</w:t>
            </w:r>
          </w:p>
          <w:p w:rsidR="00C14ACA" w:rsidRPr="003275D6" w:rsidRDefault="00C14ACA" w:rsidP="00C14ACA">
            <w:pPr>
              <w:pStyle w:val="ListParagraph"/>
              <w:numPr>
                <w:ilvl w:val="0"/>
                <w:numId w:val="14"/>
              </w:numPr>
            </w:pPr>
            <w:proofErr w:type="spellStart"/>
            <w:r w:rsidRPr="00C039B6">
              <w:rPr>
                <w:sz w:val="22"/>
                <w:szCs w:val="22"/>
              </w:rPr>
              <w:t>Banas</w:t>
            </w:r>
            <w:proofErr w:type="spellEnd"/>
            <w:r w:rsidRPr="00C039B6">
              <w:rPr>
                <w:sz w:val="22"/>
                <w:szCs w:val="22"/>
              </w:rPr>
              <w:t xml:space="preserve">, J. A., &amp; Rains, S. A. (2010). A meta-analysis of research on inoculation theory. </w:t>
            </w:r>
            <w:r w:rsidRPr="00C039B6">
              <w:rPr>
                <w:i/>
                <w:iCs/>
                <w:sz w:val="22"/>
                <w:szCs w:val="22"/>
              </w:rPr>
              <w:t>Communication Monographs, 77</w:t>
            </w:r>
            <w:r w:rsidRPr="00C039B6">
              <w:rPr>
                <w:sz w:val="22"/>
                <w:szCs w:val="22"/>
              </w:rPr>
              <w:t xml:space="preserve">, 281-311. </w:t>
            </w:r>
          </w:p>
          <w:p w:rsidR="00C14ACA" w:rsidRPr="00C039B6" w:rsidRDefault="00C14ACA" w:rsidP="00E117E8">
            <w:pPr>
              <w:pStyle w:val="ListParagraph"/>
              <w:ind w:left="0"/>
            </w:pPr>
            <w:r>
              <w:rPr>
                <w:sz w:val="22"/>
                <w:szCs w:val="22"/>
              </w:rPr>
              <w:t>Exemplification Theory</w:t>
            </w:r>
          </w:p>
          <w:p w:rsidR="00C14ACA" w:rsidRDefault="00C14ACA" w:rsidP="00C14ACA">
            <w:pPr>
              <w:pStyle w:val="ListParagraph"/>
              <w:numPr>
                <w:ilvl w:val="0"/>
                <w:numId w:val="14"/>
              </w:numPr>
            </w:pPr>
            <w:proofErr w:type="spellStart"/>
            <w:r>
              <w:t>Zillmann</w:t>
            </w:r>
            <w:proofErr w:type="spellEnd"/>
            <w:r>
              <w:t xml:space="preserve">, D. (1999). Exemplification theory: Judging the whole by the some of its parts. </w:t>
            </w:r>
            <w:r w:rsidRPr="00466FF1">
              <w:rPr>
                <w:i/>
              </w:rPr>
              <w:t>Media Psychology, 1</w:t>
            </w:r>
            <w:r>
              <w:t>, 69-94.</w:t>
            </w:r>
          </w:p>
          <w:p w:rsidR="00C14ACA" w:rsidRDefault="00C14ACA" w:rsidP="00E117E8">
            <w:pPr>
              <w:pStyle w:val="ListParagraph"/>
              <w:ind w:left="0"/>
            </w:pPr>
            <w:r>
              <w:t>Excitation Transfer Theory</w:t>
            </w:r>
          </w:p>
          <w:p w:rsidR="00C14ACA" w:rsidRDefault="00C14ACA" w:rsidP="00C14ACA">
            <w:pPr>
              <w:pStyle w:val="ListParagraph"/>
              <w:numPr>
                <w:ilvl w:val="0"/>
                <w:numId w:val="14"/>
              </w:numPr>
            </w:pPr>
            <w:r>
              <w:t xml:space="preserve">Bunce, S. C., Larsen, R. J., &amp; Cruz, M. (1993). Individual differences in the excitation transfer effect. </w:t>
            </w:r>
            <w:r w:rsidRPr="00466FF1">
              <w:rPr>
                <w:i/>
              </w:rPr>
              <w:t>Personality &amp; Individual Differences, 15</w:t>
            </w:r>
            <w:r>
              <w:t>(5), 507-514.</w:t>
            </w:r>
          </w:p>
          <w:p w:rsidR="00C14ACA" w:rsidRDefault="00C14ACA" w:rsidP="00E117E8">
            <w:pPr>
              <w:pStyle w:val="ListParagraph"/>
              <w:ind w:left="0"/>
            </w:pPr>
            <w:r>
              <w:t>Need for Closure Theory</w:t>
            </w:r>
          </w:p>
          <w:p w:rsidR="00C14ACA" w:rsidRDefault="00C14ACA" w:rsidP="00C14ACA">
            <w:pPr>
              <w:pStyle w:val="ListParagraph"/>
              <w:numPr>
                <w:ilvl w:val="0"/>
                <w:numId w:val="14"/>
              </w:numPr>
            </w:pPr>
            <w:proofErr w:type="spellStart"/>
            <w:r>
              <w:t>Roets</w:t>
            </w:r>
            <w:proofErr w:type="spellEnd"/>
            <w:r>
              <w:t xml:space="preserve">, A., </w:t>
            </w:r>
            <w:proofErr w:type="spellStart"/>
            <w:r>
              <w:t>Kruglanski</w:t>
            </w:r>
            <w:proofErr w:type="spellEnd"/>
            <w:r>
              <w:t xml:space="preserve">, A. W., </w:t>
            </w:r>
            <w:proofErr w:type="spellStart"/>
            <w:r>
              <w:t>Kossowska</w:t>
            </w:r>
            <w:proofErr w:type="spellEnd"/>
            <w:r>
              <w:t xml:space="preserve">, M., </w:t>
            </w:r>
            <w:proofErr w:type="spellStart"/>
            <w:r>
              <w:t>Pierro</w:t>
            </w:r>
            <w:proofErr w:type="spellEnd"/>
            <w:r>
              <w:t xml:space="preserve">, A., &amp; Hong, Y. (2015). The motivated gatekeeper of our minds: New directions in need for closure theory and research. </w:t>
            </w:r>
            <w:r w:rsidRPr="00466FF1">
              <w:rPr>
                <w:i/>
              </w:rPr>
              <w:t>Advances in Experimental Social Psychology, 52</w:t>
            </w:r>
            <w:r>
              <w:t>, 221-283.</w:t>
            </w:r>
          </w:p>
          <w:p w:rsidR="00C14ACA" w:rsidRDefault="00C14ACA" w:rsidP="00E117E8">
            <w:pPr>
              <w:pStyle w:val="ListParagraph"/>
              <w:ind w:left="0"/>
            </w:pPr>
            <w:r>
              <w:t>Moral Foundations Theory</w:t>
            </w:r>
          </w:p>
          <w:p w:rsidR="00C14ACA" w:rsidRDefault="00C14ACA" w:rsidP="00C14ACA">
            <w:pPr>
              <w:pStyle w:val="ListParagraph"/>
              <w:numPr>
                <w:ilvl w:val="0"/>
                <w:numId w:val="14"/>
              </w:numPr>
            </w:pPr>
            <w:r>
              <w:t xml:space="preserve">Graham, J., </w:t>
            </w:r>
            <w:proofErr w:type="spellStart"/>
            <w:r>
              <w:t>Haidt</w:t>
            </w:r>
            <w:proofErr w:type="spellEnd"/>
            <w:r>
              <w:t xml:space="preserve">, J., </w:t>
            </w:r>
            <w:proofErr w:type="spellStart"/>
            <w:r>
              <w:t>Koleva</w:t>
            </w:r>
            <w:proofErr w:type="spellEnd"/>
            <w:r>
              <w:t xml:space="preserve">, S., </w:t>
            </w:r>
            <w:proofErr w:type="spellStart"/>
            <w:r>
              <w:t>Motyl</w:t>
            </w:r>
            <w:proofErr w:type="spellEnd"/>
            <w:r>
              <w:t xml:space="preserve">, M., </w:t>
            </w:r>
            <w:proofErr w:type="spellStart"/>
            <w:r>
              <w:t>Iyer</w:t>
            </w:r>
            <w:proofErr w:type="spellEnd"/>
            <w:r>
              <w:t xml:space="preserve">, R., </w:t>
            </w:r>
            <w:proofErr w:type="spellStart"/>
            <w:r>
              <w:t>Wojcik</w:t>
            </w:r>
            <w:proofErr w:type="spellEnd"/>
            <w:r>
              <w:t xml:space="preserve">, S. P., &amp; Ditto, P. H. (2013). Moral foundations theory: The pragmatic validity of moral pluralism. </w:t>
            </w:r>
            <w:r w:rsidRPr="00466FF1">
              <w:rPr>
                <w:i/>
              </w:rPr>
              <w:t>Advances in Experimental Social Psychology, 47</w:t>
            </w:r>
            <w:r>
              <w:t>, 55-130.</w:t>
            </w:r>
          </w:p>
          <w:p w:rsidR="00C14ACA" w:rsidRDefault="00C14ACA" w:rsidP="00E117E8">
            <w:pPr>
              <w:pStyle w:val="ListParagraph"/>
              <w:ind w:left="0"/>
            </w:pPr>
          </w:p>
        </w:tc>
      </w:tr>
      <w:tr w:rsidR="00C14ACA" w:rsidTr="00E117E8">
        <w:tc>
          <w:tcPr>
            <w:tcW w:w="1075" w:type="dxa"/>
          </w:tcPr>
          <w:p w:rsidR="00C14ACA" w:rsidRDefault="00C14ACA" w:rsidP="00E117E8">
            <w:r>
              <w:t>Day 6:</w:t>
            </w:r>
          </w:p>
          <w:p w:rsidR="00C14ACA" w:rsidRDefault="00C14ACA" w:rsidP="00E117E8">
            <w:r>
              <w:t>Sept 30</w:t>
            </w:r>
          </w:p>
        </w:tc>
        <w:tc>
          <w:tcPr>
            <w:tcW w:w="8275" w:type="dxa"/>
          </w:tcPr>
          <w:p w:rsidR="00C14ACA" w:rsidRPr="005E3474" w:rsidRDefault="00943A6E" w:rsidP="00E117E8">
            <w:pPr>
              <w:pStyle w:val="ListParagraph"/>
              <w:ind w:left="0"/>
              <w:rPr>
                <w:b/>
              </w:rPr>
            </w:pPr>
            <w:r>
              <w:rPr>
                <w:b/>
              </w:rPr>
              <w:t xml:space="preserve">Theory </w:t>
            </w:r>
            <w:proofErr w:type="gramStart"/>
            <w:r>
              <w:rPr>
                <w:b/>
              </w:rPr>
              <w:t>At</w:t>
            </w:r>
            <w:proofErr w:type="gramEnd"/>
            <w:r>
              <w:rPr>
                <w:b/>
              </w:rPr>
              <w:t xml:space="preserve"> A</w:t>
            </w:r>
            <w:r w:rsidR="00C14ACA" w:rsidRPr="005E3474">
              <w:rPr>
                <w:b/>
              </w:rPr>
              <w:t xml:space="preserve"> Crossroads (Yet Again)</w:t>
            </w:r>
          </w:p>
          <w:p w:rsidR="00C14ACA" w:rsidRDefault="00C14ACA" w:rsidP="00C14ACA">
            <w:pPr>
              <w:pStyle w:val="ListParagraph"/>
              <w:numPr>
                <w:ilvl w:val="0"/>
                <w:numId w:val="11"/>
              </w:numPr>
            </w:pPr>
            <w:r>
              <w:t xml:space="preserve">Glass, T. A., &amp; </w:t>
            </w:r>
            <w:proofErr w:type="spellStart"/>
            <w:r>
              <w:t>McAtee</w:t>
            </w:r>
            <w:proofErr w:type="spellEnd"/>
            <w:r>
              <w:t xml:space="preserve">, M. J. (2006). Behavioral science at the crossroads in public health: Extending horizons, envisioning the future. </w:t>
            </w:r>
            <w:r w:rsidRPr="001951BA">
              <w:rPr>
                <w:i/>
              </w:rPr>
              <w:t>Social Science &amp; Medicine</w:t>
            </w:r>
            <w:r>
              <w:t xml:space="preserve">, </w:t>
            </w:r>
            <w:r w:rsidRPr="001951BA">
              <w:rPr>
                <w:i/>
              </w:rPr>
              <w:t>62</w:t>
            </w:r>
            <w:r>
              <w:t>, 1650-1671.</w:t>
            </w:r>
          </w:p>
          <w:p w:rsidR="00C14ACA" w:rsidRDefault="00C14ACA" w:rsidP="00C14ACA">
            <w:pPr>
              <w:pStyle w:val="ListParagraph"/>
              <w:numPr>
                <w:ilvl w:val="0"/>
                <w:numId w:val="11"/>
              </w:numPr>
            </w:pPr>
            <w:r>
              <w:t xml:space="preserve">McGuire, W. J. (1973). The Yin and Yang of progress in social psychology: Seven </w:t>
            </w:r>
            <w:proofErr w:type="spellStart"/>
            <w:r>
              <w:t>Koan</w:t>
            </w:r>
            <w:proofErr w:type="spellEnd"/>
            <w:r>
              <w:t xml:space="preserve">. </w:t>
            </w:r>
            <w:r w:rsidRPr="00466FF1">
              <w:rPr>
                <w:i/>
              </w:rPr>
              <w:t>Journal of Personality and Social Psychology, 26</w:t>
            </w:r>
            <w:r>
              <w:t>(3), 446-456.</w:t>
            </w:r>
          </w:p>
          <w:p w:rsidR="00C14ACA" w:rsidRDefault="00C14ACA" w:rsidP="00C14ACA">
            <w:pPr>
              <w:pStyle w:val="ListParagraph"/>
              <w:numPr>
                <w:ilvl w:val="0"/>
                <w:numId w:val="11"/>
              </w:numPr>
            </w:pPr>
            <w:r>
              <w:lastRenderedPageBreak/>
              <w:t xml:space="preserve">Cappella, J. N. (2006). Integrating message effects and behavior change theories: Organizing comments and unanswered questions. </w:t>
            </w:r>
            <w:r w:rsidRPr="00466FF1">
              <w:rPr>
                <w:i/>
              </w:rPr>
              <w:t>Journal of Communication, 56</w:t>
            </w:r>
            <w:r>
              <w:t>, S265-S279.</w:t>
            </w:r>
          </w:p>
          <w:p w:rsidR="00C14ACA" w:rsidRDefault="00C14ACA" w:rsidP="00E117E8"/>
          <w:p w:rsidR="00C14ACA" w:rsidRDefault="00C14ACA" w:rsidP="00E117E8">
            <w:r>
              <w:t>Optional Reading:</w:t>
            </w:r>
          </w:p>
          <w:p w:rsidR="00C14ACA" w:rsidRDefault="00C14ACA" w:rsidP="009A48B7">
            <w:pPr>
              <w:pStyle w:val="ListParagraph"/>
              <w:numPr>
                <w:ilvl w:val="0"/>
                <w:numId w:val="17"/>
              </w:numPr>
            </w:pPr>
            <w:proofErr w:type="spellStart"/>
            <w:r>
              <w:t>DeFleur</w:t>
            </w:r>
            <w:proofErr w:type="spellEnd"/>
            <w:r>
              <w:t xml:space="preserve">, M. L. (1998). Where have all the milestones gone? The decline of significant research on the process and effects of mass communication. </w:t>
            </w:r>
            <w:r w:rsidRPr="00466FF1">
              <w:rPr>
                <w:i/>
              </w:rPr>
              <w:t>Mass Communication &amp; Society, 1</w:t>
            </w:r>
            <w:r>
              <w:t>(1/2), 85-98.</w:t>
            </w:r>
          </w:p>
          <w:p w:rsidR="009A48B7" w:rsidRDefault="009A48B7" w:rsidP="009A48B7"/>
        </w:tc>
      </w:tr>
      <w:tr w:rsidR="00C14ACA" w:rsidTr="00E117E8">
        <w:tc>
          <w:tcPr>
            <w:tcW w:w="1075" w:type="dxa"/>
          </w:tcPr>
          <w:p w:rsidR="00C14ACA" w:rsidRDefault="00C14ACA" w:rsidP="00E117E8">
            <w:r>
              <w:lastRenderedPageBreak/>
              <w:t>Day 7:</w:t>
            </w:r>
          </w:p>
          <w:p w:rsidR="00C14ACA" w:rsidRDefault="00C14ACA" w:rsidP="00E117E8">
            <w:r>
              <w:t>Oct 7</w:t>
            </w:r>
          </w:p>
        </w:tc>
        <w:tc>
          <w:tcPr>
            <w:tcW w:w="8275" w:type="dxa"/>
          </w:tcPr>
          <w:p w:rsidR="00C14ACA" w:rsidRPr="00B62D33" w:rsidRDefault="00C14ACA" w:rsidP="00E117E8">
            <w:pPr>
              <w:pStyle w:val="ListParagraph"/>
              <w:ind w:left="-14"/>
              <w:rPr>
                <w:b/>
              </w:rPr>
            </w:pPr>
            <w:r w:rsidRPr="00B62D33">
              <w:rPr>
                <w:b/>
              </w:rPr>
              <w:t>The Biological Perspective to Communication</w:t>
            </w:r>
          </w:p>
          <w:p w:rsidR="00C14ACA" w:rsidRDefault="00C14ACA" w:rsidP="00C14ACA">
            <w:pPr>
              <w:pStyle w:val="ListParagraph"/>
              <w:numPr>
                <w:ilvl w:val="0"/>
                <w:numId w:val="16"/>
              </w:numPr>
            </w:pPr>
            <w:r>
              <w:t xml:space="preserve">Weber, R. (2015). Biology and brains – methodological innovations in communication science: Introduction to the special issue. </w:t>
            </w:r>
            <w:r w:rsidRPr="00466FF1">
              <w:rPr>
                <w:i/>
              </w:rPr>
              <w:t>Communication Methods &amp; Measures, 9</w:t>
            </w:r>
            <w:r>
              <w:t xml:space="preserve">, 1-4. </w:t>
            </w:r>
          </w:p>
          <w:p w:rsidR="00C14ACA" w:rsidRDefault="00C14ACA" w:rsidP="00C14ACA">
            <w:pPr>
              <w:pStyle w:val="ListParagraph"/>
              <w:numPr>
                <w:ilvl w:val="0"/>
                <w:numId w:val="16"/>
              </w:numPr>
            </w:pPr>
            <w:r>
              <w:t xml:space="preserve">Weber, R., </w:t>
            </w:r>
            <w:proofErr w:type="spellStart"/>
            <w:r>
              <w:t>Mangus</w:t>
            </w:r>
            <w:proofErr w:type="spellEnd"/>
            <w:r>
              <w:t xml:space="preserve">, J. M., &amp; </w:t>
            </w:r>
            <w:proofErr w:type="spellStart"/>
            <w:r>
              <w:t>Huskey</w:t>
            </w:r>
            <w:proofErr w:type="spellEnd"/>
            <w:r>
              <w:t xml:space="preserve">, R. (2015). Brain imaging in communication research: A practical guide to understanding and evaluating fMRI studies. </w:t>
            </w:r>
            <w:r w:rsidRPr="00466FF1">
              <w:rPr>
                <w:i/>
              </w:rPr>
              <w:t>Communication Methods &amp; Measures, 9</w:t>
            </w:r>
            <w:r>
              <w:t>, 5 – 129.</w:t>
            </w:r>
          </w:p>
          <w:p w:rsidR="00C14ACA" w:rsidRDefault="00C14ACA" w:rsidP="00C14ACA">
            <w:pPr>
              <w:pStyle w:val="ListParagraph"/>
              <w:numPr>
                <w:ilvl w:val="0"/>
                <w:numId w:val="16"/>
              </w:numPr>
            </w:pPr>
            <w:r>
              <w:t xml:space="preserve">Falk, E. B., </w:t>
            </w:r>
            <w:proofErr w:type="spellStart"/>
            <w:r>
              <w:t>Cascio</w:t>
            </w:r>
            <w:proofErr w:type="spellEnd"/>
            <w:r>
              <w:t xml:space="preserve">, C. N., &amp; Coronel, J. C. (2015). Neural prediction of communication-relevant outcomes. </w:t>
            </w:r>
            <w:r w:rsidRPr="00466FF1">
              <w:rPr>
                <w:i/>
              </w:rPr>
              <w:t>Communication Methods &amp; Measures, 9</w:t>
            </w:r>
            <w:r>
              <w:t>, 30-54.</w:t>
            </w:r>
          </w:p>
          <w:p w:rsidR="00C14ACA" w:rsidRDefault="00C14ACA" w:rsidP="00C14ACA">
            <w:pPr>
              <w:pStyle w:val="ListParagraph"/>
              <w:numPr>
                <w:ilvl w:val="0"/>
                <w:numId w:val="16"/>
              </w:numPr>
            </w:pPr>
            <w:r>
              <w:t xml:space="preserve">Sherry, J. L. (2015). Neuroscience and communication. </w:t>
            </w:r>
            <w:r w:rsidRPr="00466FF1">
              <w:rPr>
                <w:i/>
              </w:rPr>
              <w:t>Communication Methods &amp; Measures, 9</w:t>
            </w:r>
            <w:r>
              <w:t>, 117-122.</w:t>
            </w:r>
          </w:p>
          <w:p w:rsidR="00C14ACA" w:rsidRDefault="00C14ACA" w:rsidP="00E117E8">
            <w:pPr>
              <w:pStyle w:val="ListParagraph"/>
            </w:pPr>
          </w:p>
        </w:tc>
      </w:tr>
      <w:tr w:rsidR="00C14ACA" w:rsidTr="00E117E8">
        <w:tc>
          <w:tcPr>
            <w:tcW w:w="1075" w:type="dxa"/>
          </w:tcPr>
          <w:p w:rsidR="00C14ACA" w:rsidRDefault="00C14ACA" w:rsidP="00E117E8">
            <w:r>
              <w:t>Oct 14</w:t>
            </w:r>
          </w:p>
        </w:tc>
        <w:tc>
          <w:tcPr>
            <w:tcW w:w="8275" w:type="dxa"/>
          </w:tcPr>
          <w:p w:rsidR="00C14ACA" w:rsidRDefault="00C14ACA" w:rsidP="00E117E8">
            <w:r w:rsidRPr="00A64D2A">
              <w:t>No Class: Fall Break October 8 – 16</w:t>
            </w:r>
          </w:p>
          <w:p w:rsidR="009A48B7" w:rsidRPr="00A64D2A" w:rsidRDefault="009A48B7" w:rsidP="00E117E8"/>
        </w:tc>
      </w:tr>
      <w:tr w:rsidR="00C14ACA" w:rsidTr="00E117E8">
        <w:tc>
          <w:tcPr>
            <w:tcW w:w="1075" w:type="dxa"/>
          </w:tcPr>
          <w:p w:rsidR="00C14ACA" w:rsidRDefault="00C14ACA" w:rsidP="00E117E8">
            <w:r>
              <w:t>Day 8:</w:t>
            </w:r>
          </w:p>
          <w:p w:rsidR="00C14ACA" w:rsidRDefault="00C14ACA" w:rsidP="00E117E8">
            <w:r>
              <w:t>Oct 21</w:t>
            </w:r>
          </w:p>
        </w:tc>
        <w:tc>
          <w:tcPr>
            <w:tcW w:w="8275" w:type="dxa"/>
          </w:tcPr>
          <w:p w:rsidR="00C14ACA" w:rsidRPr="00482049" w:rsidRDefault="00943A6E" w:rsidP="00E117E8">
            <w:pPr>
              <w:rPr>
                <w:b/>
              </w:rPr>
            </w:pPr>
            <w:r>
              <w:rPr>
                <w:b/>
              </w:rPr>
              <w:t>Why Are There So Few Communication Theories?  A Chautauqua V</w:t>
            </w:r>
            <w:r w:rsidR="00C14ACA" w:rsidRPr="00482049">
              <w:rPr>
                <w:b/>
              </w:rPr>
              <w:t>ia Communication Monographs</w:t>
            </w:r>
          </w:p>
          <w:p w:rsidR="00C14ACA" w:rsidRDefault="00C14ACA" w:rsidP="00C14ACA">
            <w:pPr>
              <w:pStyle w:val="ListParagraph"/>
              <w:numPr>
                <w:ilvl w:val="0"/>
                <w:numId w:val="2"/>
              </w:numPr>
            </w:pPr>
            <w:r w:rsidRPr="00482049">
              <w:t xml:space="preserve">Berger, C. R. (1991).  Communication theories and other curios. </w:t>
            </w:r>
            <w:r w:rsidRPr="00466FF1">
              <w:rPr>
                <w:i/>
              </w:rPr>
              <w:t>Communication Monographs, 58</w:t>
            </w:r>
            <w:r w:rsidRPr="00482049">
              <w:t xml:space="preserve">, 101-113.   </w:t>
            </w:r>
          </w:p>
          <w:p w:rsidR="00C14ACA" w:rsidRDefault="00C14ACA" w:rsidP="00C14ACA">
            <w:pPr>
              <w:pStyle w:val="ListParagraph"/>
              <w:numPr>
                <w:ilvl w:val="0"/>
                <w:numId w:val="2"/>
              </w:numPr>
            </w:pPr>
            <w:r w:rsidRPr="00482049">
              <w:t xml:space="preserve">Burleson, B. R. (1992). Taking communication seriously. </w:t>
            </w:r>
            <w:r w:rsidRPr="00466FF1">
              <w:rPr>
                <w:i/>
              </w:rPr>
              <w:t>Communication Monographs, 59</w:t>
            </w:r>
            <w:r w:rsidRPr="00482049">
              <w:t xml:space="preserve">, 79-86. </w:t>
            </w:r>
          </w:p>
          <w:p w:rsidR="00C14ACA" w:rsidRDefault="00C14ACA" w:rsidP="00C14ACA">
            <w:pPr>
              <w:pStyle w:val="ListParagraph"/>
              <w:numPr>
                <w:ilvl w:val="0"/>
                <w:numId w:val="2"/>
              </w:numPr>
            </w:pPr>
            <w:r w:rsidRPr="00482049">
              <w:t xml:space="preserve">Redding, W. C. (1992). Response to professor Berger’s essay: Its meaning for organizational communication. </w:t>
            </w:r>
            <w:r w:rsidRPr="00466FF1">
              <w:rPr>
                <w:i/>
              </w:rPr>
              <w:t>Communication Monographs, 59</w:t>
            </w:r>
            <w:r w:rsidRPr="00482049">
              <w:t xml:space="preserve">, 87-93. </w:t>
            </w:r>
          </w:p>
          <w:p w:rsidR="00C14ACA" w:rsidRDefault="00C14ACA" w:rsidP="00C14ACA">
            <w:pPr>
              <w:pStyle w:val="ListParagraph"/>
              <w:numPr>
                <w:ilvl w:val="0"/>
                <w:numId w:val="2"/>
              </w:numPr>
            </w:pPr>
            <w:r w:rsidRPr="00482049">
              <w:t xml:space="preserve">Purcell, W. M. (1992). Are there so few communication theories? </w:t>
            </w:r>
            <w:r w:rsidRPr="00466FF1">
              <w:rPr>
                <w:i/>
              </w:rPr>
              <w:t>Communication Monographs, 59</w:t>
            </w:r>
            <w:r w:rsidRPr="00482049">
              <w:t xml:space="preserve">, 94-97. </w:t>
            </w:r>
          </w:p>
          <w:p w:rsidR="00C14ACA" w:rsidRDefault="00C14ACA" w:rsidP="00C14ACA">
            <w:pPr>
              <w:pStyle w:val="ListParagraph"/>
              <w:numPr>
                <w:ilvl w:val="0"/>
                <w:numId w:val="2"/>
              </w:numPr>
            </w:pPr>
            <w:r w:rsidRPr="00482049">
              <w:t xml:space="preserve">Berger, C. R. (1992). </w:t>
            </w:r>
            <w:proofErr w:type="spellStart"/>
            <w:r w:rsidRPr="00482049">
              <w:t>Curiouser</w:t>
            </w:r>
            <w:proofErr w:type="spellEnd"/>
            <w:r w:rsidRPr="00482049">
              <w:t xml:space="preserve"> and </w:t>
            </w:r>
            <w:proofErr w:type="spellStart"/>
            <w:r w:rsidRPr="00482049">
              <w:t>curiouser</w:t>
            </w:r>
            <w:proofErr w:type="spellEnd"/>
            <w:r w:rsidRPr="00482049">
              <w:t xml:space="preserve"> curios. </w:t>
            </w:r>
            <w:r w:rsidRPr="00466FF1">
              <w:rPr>
                <w:i/>
              </w:rPr>
              <w:t>Communication Monographs, 59</w:t>
            </w:r>
            <w:r w:rsidRPr="00482049">
              <w:t xml:space="preserve">, 101-107. </w:t>
            </w:r>
          </w:p>
          <w:p w:rsidR="00C14ACA" w:rsidRDefault="00C14ACA" w:rsidP="00E117E8"/>
          <w:p w:rsidR="00C14ACA" w:rsidRDefault="00C14ACA" w:rsidP="00E117E8">
            <w:r>
              <w:t>Optional Reading:</w:t>
            </w:r>
          </w:p>
          <w:p w:rsidR="00C14ACA" w:rsidRDefault="00C14ACA" w:rsidP="00C14ACA">
            <w:pPr>
              <w:pStyle w:val="ListParagraph"/>
              <w:numPr>
                <w:ilvl w:val="0"/>
                <w:numId w:val="2"/>
              </w:numPr>
            </w:pPr>
            <w:r w:rsidRPr="00482049">
              <w:t xml:space="preserve">Craig, R. T. (1993).  Why are there so many communication theories?  </w:t>
            </w:r>
            <w:r w:rsidRPr="00466FF1">
              <w:rPr>
                <w:i/>
              </w:rPr>
              <w:t>Journal of Communication, 43</w:t>
            </w:r>
            <w:r w:rsidRPr="00482049">
              <w:t>, 26-33.</w:t>
            </w:r>
          </w:p>
          <w:p w:rsidR="00C14ACA" w:rsidRDefault="00C14ACA" w:rsidP="00E117E8">
            <w:pPr>
              <w:pStyle w:val="ListParagraph"/>
            </w:pPr>
          </w:p>
        </w:tc>
      </w:tr>
      <w:tr w:rsidR="00C14ACA" w:rsidTr="00E117E8">
        <w:tc>
          <w:tcPr>
            <w:tcW w:w="1075" w:type="dxa"/>
          </w:tcPr>
          <w:p w:rsidR="00C14ACA" w:rsidRDefault="00C14ACA" w:rsidP="00E117E8">
            <w:r>
              <w:t>Day 9:</w:t>
            </w:r>
          </w:p>
          <w:p w:rsidR="00C14ACA" w:rsidRDefault="00C14ACA" w:rsidP="00E117E8">
            <w:r>
              <w:t>Oct 28</w:t>
            </w:r>
          </w:p>
        </w:tc>
        <w:tc>
          <w:tcPr>
            <w:tcW w:w="8275" w:type="dxa"/>
          </w:tcPr>
          <w:p w:rsidR="00C14ACA" w:rsidRPr="001C0FA1" w:rsidRDefault="00C14ACA" w:rsidP="00E117E8">
            <w:pPr>
              <w:rPr>
                <w:b/>
              </w:rPr>
            </w:pPr>
            <w:r w:rsidRPr="001C0FA1">
              <w:rPr>
                <w:b/>
              </w:rPr>
              <w:t>Theoretical Comparison &amp; Form</w:t>
            </w:r>
          </w:p>
          <w:p w:rsidR="00C14ACA" w:rsidRDefault="00C14ACA" w:rsidP="00C14ACA">
            <w:pPr>
              <w:pStyle w:val="ListParagraph"/>
              <w:numPr>
                <w:ilvl w:val="0"/>
                <w:numId w:val="3"/>
              </w:numPr>
            </w:pPr>
            <w:proofErr w:type="spellStart"/>
            <w:r>
              <w:t>Gerend</w:t>
            </w:r>
            <w:proofErr w:type="spellEnd"/>
            <w:r>
              <w:t xml:space="preserve">, M. A., &amp; Shepherd, J. E. (2012). Predicting human papillomavirus uptake in young adult women: Comparing the health belief model and the theory of planned behavior. </w:t>
            </w:r>
            <w:r w:rsidRPr="00CE24E8">
              <w:rPr>
                <w:i/>
              </w:rPr>
              <w:t>Annals of Behavioral Medicine, 44</w:t>
            </w:r>
            <w:r>
              <w:t>(2), 171-180.</w:t>
            </w:r>
          </w:p>
          <w:p w:rsidR="00C14ACA" w:rsidRDefault="00C14ACA" w:rsidP="00C14ACA">
            <w:pPr>
              <w:pStyle w:val="ListParagraph"/>
              <w:numPr>
                <w:ilvl w:val="0"/>
                <w:numId w:val="3"/>
              </w:numPr>
            </w:pPr>
            <w:r>
              <w:lastRenderedPageBreak/>
              <w:t xml:space="preserve">Brewer, N. T, &amp; </w:t>
            </w:r>
            <w:proofErr w:type="spellStart"/>
            <w:r>
              <w:t>Gilkey</w:t>
            </w:r>
            <w:proofErr w:type="spellEnd"/>
            <w:r>
              <w:t xml:space="preserve">, M. B. (2012). Comparing theories of health behavior using data from longitudinal studies: A comment on </w:t>
            </w:r>
            <w:proofErr w:type="spellStart"/>
            <w:r>
              <w:t>Gerend</w:t>
            </w:r>
            <w:proofErr w:type="spellEnd"/>
            <w:r>
              <w:t xml:space="preserve"> and Shepherd. </w:t>
            </w:r>
            <w:r w:rsidRPr="00CE24E8">
              <w:rPr>
                <w:i/>
              </w:rPr>
              <w:t>Annals of Behavioral Medicine, 44</w:t>
            </w:r>
            <w:r>
              <w:t>(2), 147-148.</w:t>
            </w:r>
          </w:p>
          <w:p w:rsidR="00C14ACA" w:rsidRDefault="00C14ACA" w:rsidP="00C14ACA">
            <w:pPr>
              <w:pStyle w:val="ListParagraph"/>
              <w:numPr>
                <w:ilvl w:val="0"/>
                <w:numId w:val="3"/>
              </w:numPr>
            </w:pPr>
            <w:proofErr w:type="spellStart"/>
            <w:r w:rsidRPr="00482049">
              <w:t>Bradac</w:t>
            </w:r>
            <w:proofErr w:type="spellEnd"/>
            <w:r w:rsidRPr="00482049">
              <w:t>, J. J. (2001).  Theory comparison:  Uncertainty redu</w:t>
            </w:r>
            <w:r>
              <w:t xml:space="preserve">ction, problematic integration, </w:t>
            </w:r>
            <w:r w:rsidRPr="00482049">
              <w:t>uncertainty management</w:t>
            </w:r>
            <w:r>
              <w:t>, and other curious constructs.</w:t>
            </w:r>
            <w:r w:rsidRPr="00482049">
              <w:t xml:space="preserve"> </w:t>
            </w:r>
            <w:r w:rsidRPr="001C0FA1">
              <w:rPr>
                <w:i/>
              </w:rPr>
              <w:t>Journal of Communication</w:t>
            </w:r>
            <w:r w:rsidRPr="00482049">
              <w:t xml:space="preserve">, </w:t>
            </w:r>
            <w:r w:rsidRPr="001C0FA1">
              <w:rPr>
                <w:i/>
              </w:rPr>
              <w:t>51</w:t>
            </w:r>
            <w:r w:rsidRPr="00482049">
              <w:t>, 456-476.</w:t>
            </w:r>
          </w:p>
          <w:p w:rsidR="00C14ACA" w:rsidRDefault="00C14ACA" w:rsidP="007474F5">
            <w:pPr>
              <w:pStyle w:val="ListParagraph"/>
              <w:shd w:val="clear" w:color="auto" w:fill="FFFFFF"/>
            </w:pPr>
          </w:p>
        </w:tc>
      </w:tr>
      <w:tr w:rsidR="00C14ACA" w:rsidTr="00E117E8">
        <w:tc>
          <w:tcPr>
            <w:tcW w:w="1075" w:type="dxa"/>
          </w:tcPr>
          <w:p w:rsidR="00C14ACA" w:rsidRDefault="00C14ACA" w:rsidP="00E117E8">
            <w:r>
              <w:lastRenderedPageBreak/>
              <w:t>Day 10:</w:t>
            </w:r>
          </w:p>
          <w:p w:rsidR="00C14ACA" w:rsidRDefault="00C14ACA" w:rsidP="00E117E8">
            <w:r>
              <w:t>Nov 4</w:t>
            </w:r>
          </w:p>
        </w:tc>
        <w:tc>
          <w:tcPr>
            <w:tcW w:w="8275" w:type="dxa"/>
          </w:tcPr>
          <w:p w:rsidR="00C14ACA" w:rsidRPr="00C039B6" w:rsidRDefault="00943A6E" w:rsidP="00E117E8">
            <w:pPr>
              <w:pStyle w:val="ListParagraph"/>
              <w:ind w:left="-14"/>
              <w:rPr>
                <w:b/>
              </w:rPr>
            </w:pPr>
            <w:r>
              <w:rPr>
                <w:b/>
              </w:rPr>
              <w:t>Can Theories B</w:t>
            </w:r>
            <w:r w:rsidR="00C14ACA">
              <w:rPr>
                <w:b/>
              </w:rPr>
              <w:t>e Retired?</w:t>
            </w:r>
          </w:p>
          <w:p w:rsidR="00C14ACA" w:rsidRDefault="00C14ACA" w:rsidP="00C14ACA">
            <w:pPr>
              <w:pStyle w:val="ListParagraph"/>
              <w:numPr>
                <w:ilvl w:val="0"/>
                <w:numId w:val="15"/>
              </w:numPr>
            </w:pPr>
            <w:proofErr w:type="spellStart"/>
            <w:r>
              <w:t>Ajzen</w:t>
            </w:r>
            <w:proofErr w:type="spellEnd"/>
            <w:r>
              <w:t xml:space="preserve">, I. (1991). The theory of planned behavior. </w:t>
            </w:r>
            <w:r w:rsidRPr="00775991">
              <w:rPr>
                <w:i/>
              </w:rPr>
              <w:t>Organizational behavior and human decision processes, 50</w:t>
            </w:r>
            <w:r>
              <w:t>, 179-211.</w:t>
            </w:r>
          </w:p>
          <w:p w:rsidR="00C14ACA" w:rsidRDefault="00C14ACA" w:rsidP="00C14ACA">
            <w:pPr>
              <w:pStyle w:val="ListParagraph"/>
              <w:numPr>
                <w:ilvl w:val="0"/>
                <w:numId w:val="15"/>
              </w:numPr>
            </w:pPr>
            <w:proofErr w:type="spellStart"/>
            <w:r>
              <w:t>Fishbein</w:t>
            </w:r>
            <w:proofErr w:type="spellEnd"/>
            <w:r>
              <w:t xml:space="preserve">, M., &amp; </w:t>
            </w:r>
            <w:proofErr w:type="spellStart"/>
            <w:r>
              <w:t>Yzer</w:t>
            </w:r>
            <w:proofErr w:type="spellEnd"/>
            <w:r>
              <w:t xml:space="preserve">, M. C. (2003). Using theory to design effective health behavior interventions. </w:t>
            </w:r>
            <w:r w:rsidRPr="00A64D2A">
              <w:rPr>
                <w:i/>
              </w:rPr>
              <w:t>Communication Theory</w:t>
            </w:r>
            <w:r>
              <w:t xml:space="preserve">, </w:t>
            </w:r>
            <w:r w:rsidRPr="00A64D2A">
              <w:rPr>
                <w:i/>
              </w:rPr>
              <w:t>13</w:t>
            </w:r>
            <w:r>
              <w:t>, 164-183.</w:t>
            </w:r>
          </w:p>
          <w:p w:rsidR="00C14ACA" w:rsidRDefault="00C14ACA" w:rsidP="00C14ACA">
            <w:pPr>
              <w:pStyle w:val="ListParagraph"/>
              <w:numPr>
                <w:ilvl w:val="0"/>
                <w:numId w:val="15"/>
              </w:numPr>
            </w:pPr>
            <w:proofErr w:type="spellStart"/>
            <w:r>
              <w:t>Sniehotta</w:t>
            </w:r>
            <w:proofErr w:type="spellEnd"/>
            <w:r>
              <w:t xml:space="preserve">, F. F., </w:t>
            </w:r>
            <w:proofErr w:type="spellStart"/>
            <w:r>
              <w:t>Presseau</w:t>
            </w:r>
            <w:proofErr w:type="spellEnd"/>
            <w:r>
              <w:t>, J., &amp; Araujo-</w:t>
            </w:r>
            <w:proofErr w:type="spellStart"/>
            <w:r>
              <w:t>Soares</w:t>
            </w:r>
            <w:proofErr w:type="spellEnd"/>
            <w:r>
              <w:t xml:space="preserve">, V. (2014). Time to retire the theory of planned behavior. </w:t>
            </w:r>
            <w:r w:rsidRPr="00466FF1">
              <w:rPr>
                <w:i/>
              </w:rPr>
              <w:t>Health Psychology Review, 8</w:t>
            </w:r>
            <w:r>
              <w:t>(1), 1-7.</w:t>
            </w:r>
          </w:p>
          <w:p w:rsidR="00C14ACA" w:rsidRDefault="00C14ACA" w:rsidP="00C14ACA">
            <w:pPr>
              <w:pStyle w:val="ListParagraph"/>
              <w:numPr>
                <w:ilvl w:val="0"/>
                <w:numId w:val="15"/>
              </w:numPr>
            </w:pPr>
            <w:proofErr w:type="spellStart"/>
            <w:r>
              <w:t>Azjen</w:t>
            </w:r>
            <w:proofErr w:type="spellEnd"/>
            <w:r>
              <w:t xml:space="preserve">, I. (2014). The theory of planned behavior is alive and well, and not ready to retire: A commentary on </w:t>
            </w:r>
            <w:proofErr w:type="spellStart"/>
            <w:r>
              <w:t>Sniehotta</w:t>
            </w:r>
            <w:proofErr w:type="spellEnd"/>
            <w:r>
              <w:t xml:space="preserve">, </w:t>
            </w:r>
            <w:proofErr w:type="spellStart"/>
            <w:r>
              <w:t>Presseau</w:t>
            </w:r>
            <w:proofErr w:type="spellEnd"/>
            <w:r>
              <w:t>, and Araujo-</w:t>
            </w:r>
            <w:proofErr w:type="spellStart"/>
            <w:r>
              <w:t>Soares</w:t>
            </w:r>
            <w:proofErr w:type="spellEnd"/>
            <w:r>
              <w:t xml:space="preserve">. </w:t>
            </w:r>
            <w:r w:rsidRPr="00466FF1">
              <w:rPr>
                <w:i/>
              </w:rPr>
              <w:t>Health Psychology Review, 8</w:t>
            </w:r>
            <w:r>
              <w:t>(1), 1-7.</w:t>
            </w:r>
          </w:p>
          <w:p w:rsidR="00C14ACA" w:rsidRDefault="00C14ACA" w:rsidP="00E117E8">
            <w:pPr>
              <w:pStyle w:val="ListParagraph"/>
            </w:pPr>
          </w:p>
          <w:p w:rsidR="00C14ACA" w:rsidRDefault="00C14ACA" w:rsidP="00E117E8">
            <w:r>
              <w:t>Optional Reading:</w:t>
            </w:r>
          </w:p>
          <w:p w:rsidR="00C14ACA" w:rsidRDefault="00C14ACA" w:rsidP="00C14ACA">
            <w:pPr>
              <w:pStyle w:val="ListParagraph"/>
              <w:numPr>
                <w:ilvl w:val="0"/>
                <w:numId w:val="15"/>
              </w:numPr>
            </w:pPr>
            <w:r>
              <w:t xml:space="preserve">Head, K. J., &amp; </w:t>
            </w:r>
            <w:proofErr w:type="spellStart"/>
            <w:r>
              <w:t>Noar</w:t>
            </w:r>
            <w:proofErr w:type="spellEnd"/>
            <w:r>
              <w:t xml:space="preserve">, S. M. (2014). Facilitating progress in health behavior theory development and modification: The reasoned action approach as a case study. </w:t>
            </w:r>
            <w:r w:rsidRPr="004A75E1">
              <w:rPr>
                <w:i/>
              </w:rPr>
              <w:t>Health Psychology Review, 8</w:t>
            </w:r>
            <w:r>
              <w:t>(1), 34-52.</w:t>
            </w:r>
          </w:p>
          <w:p w:rsidR="00C14ACA" w:rsidRDefault="00C14ACA" w:rsidP="00E117E8">
            <w:pPr>
              <w:pStyle w:val="ListParagraph"/>
            </w:pPr>
          </w:p>
          <w:p w:rsidR="00C14ACA" w:rsidRDefault="00C14ACA" w:rsidP="00C14ACA">
            <w:pPr>
              <w:pStyle w:val="ListParagraph"/>
              <w:numPr>
                <w:ilvl w:val="0"/>
                <w:numId w:val="15"/>
              </w:numPr>
            </w:pPr>
            <w:proofErr w:type="spellStart"/>
            <w:r>
              <w:t>Schwarzer</w:t>
            </w:r>
            <w:proofErr w:type="spellEnd"/>
            <w:r>
              <w:t xml:space="preserve">, R. (2014). Life and death of health behavior theories. </w:t>
            </w:r>
            <w:r w:rsidRPr="004A75E1">
              <w:rPr>
                <w:i/>
              </w:rPr>
              <w:t>Health Psychology Review, 8</w:t>
            </w:r>
            <w:r>
              <w:t>(1), 53-56.</w:t>
            </w:r>
          </w:p>
          <w:p w:rsidR="00C14ACA" w:rsidRDefault="00C14ACA" w:rsidP="00C14ACA">
            <w:pPr>
              <w:pStyle w:val="ListParagraph"/>
              <w:numPr>
                <w:ilvl w:val="0"/>
                <w:numId w:val="15"/>
              </w:numPr>
            </w:pPr>
            <w:proofErr w:type="spellStart"/>
            <w:r>
              <w:t>Kok</w:t>
            </w:r>
            <w:proofErr w:type="spellEnd"/>
            <w:r>
              <w:t xml:space="preserve">, G., &amp; </w:t>
            </w:r>
            <w:proofErr w:type="spellStart"/>
            <w:r>
              <w:t>Ruiter</w:t>
            </w:r>
            <w:proofErr w:type="spellEnd"/>
            <w:r>
              <w:t xml:space="preserve">, R. A. (2014). Who has the authority to change a theory? Everyone! A commentary on Head and </w:t>
            </w:r>
            <w:proofErr w:type="spellStart"/>
            <w:r>
              <w:t>Noar</w:t>
            </w:r>
            <w:proofErr w:type="spellEnd"/>
            <w:r>
              <w:t xml:space="preserve">. </w:t>
            </w:r>
            <w:r w:rsidRPr="004A75E1">
              <w:rPr>
                <w:i/>
              </w:rPr>
              <w:t>Health Psychology Review, 8</w:t>
            </w:r>
            <w:r>
              <w:t>(1), 61-64.</w:t>
            </w:r>
          </w:p>
          <w:p w:rsidR="00C14ACA" w:rsidRDefault="00C14ACA" w:rsidP="00C14ACA">
            <w:pPr>
              <w:pStyle w:val="ListParagraph"/>
              <w:numPr>
                <w:ilvl w:val="0"/>
                <w:numId w:val="15"/>
              </w:numPr>
            </w:pPr>
            <w:r>
              <w:t xml:space="preserve">Rhodes, R. E. (2014). Improving translational research in building theory: A commentary on Head and </w:t>
            </w:r>
            <w:proofErr w:type="spellStart"/>
            <w:r>
              <w:t>Noar</w:t>
            </w:r>
            <w:proofErr w:type="spellEnd"/>
            <w:r>
              <w:t xml:space="preserve">. </w:t>
            </w:r>
            <w:r w:rsidRPr="004A75E1">
              <w:rPr>
                <w:i/>
              </w:rPr>
              <w:t>Health Psychology Review, 8</w:t>
            </w:r>
            <w:r>
              <w:t>(1), 57-60.</w:t>
            </w:r>
          </w:p>
          <w:p w:rsidR="00C14ACA" w:rsidRDefault="00C14ACA" w:rsidP="00E117E8">
            <w:pPr>
              <w:pStyle w:val="ListParagraph"/>
            </w:pPr>
          </w:p>
          <w:p w:rsidR="00C14ACA" w:rsidRDefault="00C14ACA" w:rsidP="00C14ACA">
            <w:pPr>
              <w:pStyle w:val="ListParagraph"/>
              <w:numPr>
                <w:ilvl w:val="0"/>
                <w:numId w:val="15"/>
              </w:numPr>
            </w:pPr>
            <w:proofErr w:type="spellStart"/>
            <w:r>
              <w:t>Noar</w:t>
            </w:r>
            <w:proofErr w:type="spellEnd"/>
            <w:r>
              <w:t xml:space="preserve">, S. M., &amp; Head, K. J. (2014). Mind the gap: Bringing our theories in line with the empirical data – A response to commentaries. </w:t>
            </w:r>
            <w:r w:rsidRPr="004A75E1">
              <w:rPr>
                <w:i/>
              </w:rPr>
              <w:t>Health Psychology Review, 8</w:t>
            </w:r>
            <w:r>
              <w:t>(1), 65-69.</w:t>
            </w:r>
          </w:p>
          <w:p w:rsidR="00C14ACA" w:rsidRDefault="00C14ACA" w:rsidP="00E117E8">
            <w:pPr>
              <w:pStyle w:val="ListParagraph"/>
            </w:pPr>
          </w:p>
        </w:tc>
      </w:tr>
      <w:tr w:rsidR="00C14ACA" w:rsidTr="00E117E8">
        <w:tc>
          <w:tcPr>
            <w:tcW w:w="1075" w:type="dxa"/>
          </w:tcPr>
          <w:p w:rsidR="00C14ACA" w:rsidRDefault="00C14ACA" w:rsidP="00E117E8">
            <w:r>
              <w:t>Nov 11</w:t>
            </w:r>
          </w:p>
        </w:tc>
        <w:tc>
          <w:tcPr>
            <w:tcW w:w="8275" w:type="dxa"/>
          </w:tcPr>
          <w:p w:rsidR="00C14ACA" w:rsidRDefault="00C14ACA" w:rsidP="00E117E8">
            <w:r>
              <w:t xml:space="preserve">No Class: NCA November 10 </w:t>
            </w:r>
            <w:r w:rsidR="009A48B7">
              <w:t>–</w:t>
            </w:r>
            <w:r>
              <w:t xml:space="preserve"> 13</w:t>
            </w:r>
          </w:p>
          <w:p w:rsidR="009A48B7" w:rsidRPr="001649AF" w:rsidRDefault="009A48B7" w:rsidP="00E117E8"/>
        </w:tc>
      </w:tr>
      <w:tr w:rsidR="00C14ACA" w:rsidTr="00E117E8">
        <w:tc>
          <w:tcPr>
            <w:tcW w:w="1075" w:type="dxa"/>
          </w:tcPr>
          <w:p w:rsidR="00C14ACA" w:rsidRDefault="00C14ACA" w:rsidP="00E117E8">
            <w:r>
              <w:t>Day 11:</w:t>
            </w:r>
          </w:p>
          <w:p w:rsidR="00C14ACA" w:rsidRDefault="00C14ACA" w:rsidP="00E117E8">
            <w:r>
              <w:t>Nov 18</w:t>
            </w:r>
          </w:p>
        </w:tc>
        <w:tc>
          <w:tcPr>
            <w:tcW w:w="8275" w:type="dxa"/>
          </w:tcPr>
          <w:p w:rsidR="00C14ACA" w:rsidRPr="00D50838" w:rsidRDefault="00C14ACA" w:rsidP="00E117E8">
            <w:pPr>
              <w:pStyle w:val="ListParagraph"/>
              <w:ind w:left="-14"/>
              <w:rPr>
                <w:b/>
              </w:rPr>
            </w:pPr>
            <w:r>
              <w:rPr>
                <w:b/>
              </w:rPr>
              <w:t xml:space="preserve">False Findings &amp; </w:t>
            </w:r>
            <w:r w:rsidRPr="00D50838">
              <w:rPr>
                <w:b/>
              </w:rPr>
              <w:t>Replication</w:t>
            </w:r>
          </w:p>
          <w:p w:rsidR="00C14ACA" w:rsidRDefault="00C14ACA" w:rsidP="00C14ACA">
            <w:pPr>
              <w:pStyle w:val="ListParagraph"/>
              <w:numPr>
                <w:ilvl w:val="0"/>
                <w:numId w:val="7"/>
              </w:numPr>
            </w:pPr>
            <w:r>
              <w:t xml:space="preserve">Ioannidis, J. P. A. (2005). Why most published research findings are false. </w:t>
            </w:r>
            <w:proofErr w:type="spellStart"/>
            <w:r w:rsidRPr="00D50838">
              <w:rPr>
                <w:i/>
              </w:rPr>
              <w:t>PLoS</w:t>
            </w:r>
            <w:proofErr w:type="spellEnd"/>
            <w:r w:rsidRPr="00D50838">
              <w:rPr>
                <w:i/>
              </w:rPr>
              <w:t xml:space="preserve"> Medicine</w:t>
            </w:r>
            <w:r>
              <w:t xml:space="preserve">, </w:t>
            </w:r>
            <w:r w:rsidRPr="00D50838">
              <w:rPr>
                <w:i/>
              </w:rPr>
              <w:t>2</w:t>
            </w:r>
            <w:r>
              <w:t xml:space="preserve">(8): e124. </w:t>
            </w:r>
          </w:p>
          <w:p w:rsidR="00C14ACA" w:rsidRDefault="00C14ACA" w:rsidP="00C14ACA">
            <w:pPr>
              <w:pStyle w:val="ListParagraph"/>
              <w:numPr>
                <w:ilvl w:val="0"/>
                <w:numId w:val="7"/>
              </w:numPr>
            </w:pPr>
            <w:proofErr w:type="spellStart"/>
            <w:r>
              <w:t>Moonesinghe</w:t>
            </w:r>
            <w:proofErr w:type="spellEnd"/>
            <w:r>
              <w:t xml:space="preserve">, R., </w:t>
            </w:r>
            <w:proofErr w:type="spellStart"/>
            <w:r>
              <w:t>Khoury</w:t>
            </w:r>
            <w:proofErr w:type="spellEnd"/>
            <w:r>
              <w:t xml:space="preserve">, M. J., &amp; </w:t>
            </w:r>
            <w:proofErr w:type="spellStart"/>
            <w:r>
              <w:t>Janssens</w:t>
            </w:r>
            <w:proofErr w:type="spellEnd"/>
            <w:r>
              <w:t xml:space="preserve">, A. C. J. W. (2007). Most published research findings are false – but a little replication goes a long way. </w:t>
            </w:r>
            <w:proofErr w:type="spellStart"/>
            <w:r w:rsidRPr="00F45896">
              <w:rPr>
                <w:i/>
              </w:rPr>
              <w:t>PLoS</w:t>
            </w:r>
            <w:proofErr w:type="spellEnd"/>
            <w:r w:rsidRPr="00F45896">
              <w:rPr>
                <w:i/>
              </w:rPr>
              <w:t xml:space="preserve"> Medicine</w:t>
            </w:r>
            <w:r>
              <w:t xml:space="preserve">, </w:t>
            </w:r>
            <w:r w:rsidRPr="00F45896">
              <w:rPr>
                <w:i/>
              </w:rPr>
              <w:t>4</w:t>
            </w:r>
            <w:r>
              <w:t xml:space="preserve">(2), e28. </w:t>
            </w:r>
          </w:p>
          <w:p w:rsidR="00C14ACA" w:rsidRDefault="00C14ACA" w:rsidP="00E117E8">
            <w:pPr>
              <w:pStyle w:val="ListParagraph"/>
            </w:pPr>
          </w:p>
        </w:tc>
      </w:tr>
      <w:tr w:rsidR="00C14ACA" w:rsidTr="00E117E8">
        <w:tc>
          <w:tcPr>
            <w:tcW w:w="1075" w:type="dxa"/>
          </w:tcPr>
          <w:p w:rsidR="00C14ACA" w:rsidRDefault="00C14ACA" w:rsidP="00E117E8">
            <w:r>
              <w:t>Nov 25</w:t>
            </w:r>
          </w:p>
        </w:tc>
        <w:tc>
          <w:tcPr>
            <w:tcW w:w="8275" w:type="dxa"/>
          </w:tcPr>
          <w:p w:rsidR="009A48B7" w:rsidRDefault="00C14ACA" w:rsidP="00E117E8">
            <w:r>
              <w:t>No Class: Thanksgiving Break November 24</w:t>
            </w:r>
            <w:r w:rsidRPr="00A64D2A">
              <w:rPr>
                <w:vertAlign w:val="superscript"/>
              </w:rPr>
              <w:t>th</w:t>
            </w:r>
            <w:r>
              <w:t xml:space="preserve"> – 25</w:t>
            </w:r>
            <w:r w:rsidRPr="009A48B7">
              <w:rPr>
                <w:vertAlign w:val="superscript"/>
              </w:rPr>
              <w:t>th</w:t>
            </w:r>
          </w:p>
        </w:tc>
      </w:tr>
      <w:tr w:rsidR="00C14ACA" w:rsidTr="00E117E8">
        <w:tc>
          <w:tcPr>
            <w:tcW w:w="1075" w:type="dxa"/>
          </w:tcPr>
          <w:p w:rsidR="00C14ACA" w:rsidRDefault="00C14ACA" w:rsidP="00E117E8">
            <w:r>
              <w:lastRenderedPageBreak/>
              <w:t>Day 12:</w:t>
            </w:r>
          </w:p>
          <w:p w:rsidR="00C14ACA" w:rsidRDefault="00C14ACA" w:rsidP="00E117E8">
            <w:r>
              <w:t>Dec 2</w:t>
            </w:r>
          </w:p>
        </w:tc>
        <w:tc>
          <w:tcPr>
            <w:tcW w:w="8275" w:type="dxa"/>
          </w:tcPr>
          <w:p w:rsidR="00C14ACA" w:rsidRPr="001649AF" w:rsidRDefault="00C14ACA" w:rsidP="00E117E8">
            <w:pPr>
              <w:rPr>
                <w:b/>
              </w:rPr>
            </w:pPr>
            <w:r w:rsidRPr="001649AF">
              <w:rPr>
                <w:b/>
              </w:rPr>
              <w:t xml:space="preserve">Future of the Discipline </w:t>
            </w:r>
          </w:p>
          <w:p w:rsidR="00C14ACA" w:rsidRDefault="00C14ACA" w:rsidP="00C14ACA">
            <w:pPr>
              <w:pStyle w:val="ListParagraph"/>
              <w:numPr>
                <w:ilvl w:val="0"/>
                <w:numId w:val="3"/>
              </w:numPr>
            </w:pPr>
            <w:r w:rsidRPr="00482049">
              <w:t xml:space="preserve">Benoit, W. L., &amp; </w:t>
            </w:r>
            <w:proofErr w:type="spellStart"/>
            <w:r w:rsidRPr="00482049">
              <w:t>Pfau</w:t>
            </w:r>
            <w:proofErr w:type="spellEnd"/>
            <w:r w:rsidRPr="00482049">
              <w:t>, M. (2004).  Introduction to the special issue: The state of the art in communication theory and research, part 1</w:t>
            </w:r>
            <w:r w:rsidRPr="00466FF1">
              <w:rPr>
                <w:i/>
              </w:rPr>
              <w:t>.  Journal of Communication, 54</w:t>
            </w:r>
            <w:r w:rsidRPr="00482049">
              <w:t xml:space="preserve">(4), 588. </w:t>
            </w:r>
          </w:p>
          <w:p w:rsidR="00C14ACA" w:rsidRDefault="00C14ACA" w:rsidP="00C14ACA">
            <w:pPr>
              <w:pStyle w:val="ListParagraph"/>
              <w:numPr>
                <w:ilvl w:val="0"/>
                <w:numId w:val="3"/>
              </w:numPr>
            </w:pPr>
            <w:r w:rsidRPr="00482049">
              <w:t xml:space="preserve">Anderson, J. A., &amp; </w:t>
            </w:r>
            <w:proofErr w:type="spellStart"/>
            <w:r w:rsidRPr="00482049">
              <w:t>Baym</w:t>
            </w:r>
            <w:proofErr w:type="spellEnd"/>
            <w:r w:rsidRPr="00482049">
              <w:t xml:space="preserve">, G. (2004).  Philosophies and philosophic issues in communication, 1995-2004. </w:t>
            </w:r>
            <w:r w:rsidRPr="00466FF1">
              <w:rPr>
                <w:i/>
              </w:rPr>
              <w:t>Journal of Communication, 54</w:t>
            </w:r>
            <w:r w:rsidRPr="00482049">
              <w:t xml:space="preserve">(4), 589-615. </w:t>
            </w:r>
          </w:p>
          <w:p w:rsidR="00C14ACA" w:rsidRDefault="00C14ACA" w:rsidP="00C14ACA">
            <w:pPr>
              <w:pStyle w:val="ListParagraph"/>
              <w:numPr>
                <w:ilvl w:val="0"/>
                <w:numId w:val="3"/>
              </w:numPr>
            </w:pPr>
            <w:r w:rsidRPr="00482049">
              <w:t xml:space="preserve">Bryant, J., &amp; </w:t>
            </w:r>
            <w:proofErr w:type="spellStart"/>
            <w:r w:rsidRPr="00482049">
              <w:t>Miron</w:t>
            </w:r>
            <w:proofErr w:type="spellEnd"/>
            <w:r w:rsidRPr="00482049">
              <w:t xml:space="preserve">, D. (2004).  Theory and research in mass communication.  </w:t>
            </w:r>
            <w:r w:rsidRPr="00466FF1">
              <w:rPr>
                <w:i/>
              </w:rPr>
              <w:t>Journal of Communication, 54</w:t>
            </w:r>
            <w:r w:rsidRPr="00482049">
              <w:t xml:space="preserve">(4), 662-704. </w:t>
            </w:r>
          </w:p>
          <w:p w:rsidR="00C14ACA" w:rsidRDefault="00C14ACA" w:rsidP="00C14ACA">
            <w:pPr>
              <w:pStyle w:val="ListParagraph"/>
              <w:numPr>
                <w:ilvl w:val="0"/>
                <w:numId w:val="3"/>
              </w:numPr>
            </w:pPr>
            <w:r w:rsidRPr="00482049">
              <w:t xml:space="preserve">Parrott, R. (2004). Emphasizing “communication” in health communication. </w:t>
            </w:r>
            <w:r w:rsidRPr="00466FF1">
              <w:rPr>
                <w:i/>
              </w:rPr>
              <w:t>Journal of Communication, 54</w:t>
            </w:r>
            <w:r w:rsidRPr="00482049">
              <w:t>(4), 751</w:t>
            </w:r>
            <w:r w:rsidR="007474F5">
              <w:t>-</w:t>
            </w:r>
            <w:r w:rsidRPr="00482049">
              <w:t xml:space="preserve">787. </w:t>
            </w:r>
          </w:p>
          <w:p w:rsidR="001E4142" w:rsidRDefault="00C14ACA" w:rsidP="001E4142">
            <w:pPr>
              <w:pStyle w:val="ListParagraph"/>
              <w:numPr>
                <w:ilvl w:val="0"/>
                <w:numId w:val="4"/>
              </w:numPr>
            </w:pPr>
            <w:r w:rsidRPr="00482049">
              <w:t xml:space="preserve">Walther, J. B., Gay, G., &amp; Hancock, J. T. (2005). How do communication and technology researchers study the Internet? </w:t>
            </w:r>
            <w:r w:rsidRPr="00466FF1">
              <w:rPr>
                <w:i/>
              </w:rPr>
              <w:t>Journal of Communication, 55</w:t>
            </w:r>
            <w:r w:rsidRPr="00482049">
              <w:t>(3), 632-657.</w:t>
            </w:r>
          </w:p>
          <w:p w:rsidR="001E4142" w:rsidRDefault="001E4142" w:rsidP="001E4142">
            <w:pPr>
              <w:pStyle w:val="ListParagraph"/>
            </w:pPr>
          </w:p>
          <w:p w:rsidR="001E4142" w:rsidRDefault="001E4142" w:rsidP="001E4142">
            <w:r>
              <w:t>Optional Reading:</w:t>
            </w:r>
          </w:p>
          <w:p w:rsidR="001E4142" w:rsidRDefault="001E4142" w:rsidP="001E4142">
            <w:pPr>
              <w:pStyle w:val="ListParagraph"/>
              <w:numPr>
                <w:ilvl w:val="0"/>
                <w:numId w:val="14"/>
              </w:numPr>
            </w:pPr>
            <w:r>
              <w:t xml:space="preserve">Pencil, M. (1976), Salt passage research: The state of the art. </w:t>
            </w:r>
            <w:r w:rsidRPr="00466FF1">
              <w:rPr>
                <w:i/>
              </w:rPr>
              <w:t>Journal of Communication</w:t>
            </w:r>
            <w:r>
              <w:t xml:space="preserve">, </w:t>
            </w:r>
            <w:r w:rsidRPr="00466FF1">
              <w:rPr>
                <w:i/>
              </w:rPr>
              <w:t>26</w:t>
            </w:r>
            <w:r>
              <w:t>, 31-36.</w:t>
            </w:r>
          </w:p>
          <w:p w:rsidR="009A48B7" w:rsidRDefault="009A48B7" w:rsidP="009A48B7">
            <w:pPr>
              <w:pStyle w:val="ListParagraph"/>
            </w:pPr>
            <w:bookmarkStart w:id="0" w:name="_GoBack"/>
            <w:bookmarkEnd w:id="0"/>
          </w:p>
          <w:p w:rsidR="00C14ACA" w:rsidRDefault="009A48B7" w:rsidP="009A48B7">
            <w:pPr>
              <w:pStyle w:val="ListParagraph"/>
              <w:ind w:left="0"/>
              <w:rPr>
                <w:b/>
              </w:rPr>
            </w:pPr>
            <w:r>
              <w:rPr>
                <w:b/>
              </w:rPr>
              <w:t>*</w:t>
            </w:r>
            <w:r w:rsidRPr="009A48B7">
              <w:rPr>
                <w:b/>
              </w:rPr>
              <w:t>Hand in sketchbook at end of class.</w:t>
            </w:r>
          </w:p>
          <w:p w:rsidR="009A48B7" w:rsidRPr="009A48B7" w:rsidRDefault="009A48B7" w:rsidP="009A48B7">
            <w:pPr>
              <w:pStyle w:val="ListParagraph"/>
              <w:ind w:left="0"/>
              <w:rPr>
                <w:b/>
              </w:rPr>
            </w:pPr>
            <w:r>
              <w:rPr>
                <w:b/>
              </w:rPr>
              <w:t>*Final paper due December 9</w:t>
            </w:r>
            <w:r w:rsidRPr="009A48B7">
              <w:rPr>
                <w:b/>
                <w:vertAlign w:val="superscript"/>
              </w:rPr>
              <w:t>th</w:t>
            </w:r>
            <w:r>
              <w:rPr>
                <w:b/>
              </w:rPr>
              <w:t xml:space="preserve"> by 11:59 pm</w:t>
            </w:r>
          </w:p>
        </w:tc>
      </w:tr>
    </w:tbl>
    <w:p w:rsidR="00D06DD2" w:rsidRDefault="00D06DD2" w:rsidP="00C57B0A"/>
    <w:p w:rsidR="00D06DD2" w:rsidRDefault="00D06DD2" w:rsidP="00C57B0A"/>
    <w:p w:rsidR="00D06DD2" w:rsidRDefault="00D06DD2" w:rsidP="00C57B0A"/>
    <w:p w:rsidR="00D06DD2" w:rsidRDefault="00D06DD2" w:rsidP="00C57B0A"/>
    <w:p w:rsidR="00330069" w:rsidRDefault="00330069" w:rsidP="00C57B0A"/>
    <w:p w:rsidR="00330069" w:rsidRDefault="00330069" w:rsidP="00C57B0A"/>
    <w:p w:rsidR="00D06DD2" w:rsidRDefault="00D06DD2" w:rsidP="00C57B0A"/>
    <w:p w:rsidR="00D06DD2" w:rsidRDefault="00D06DD2" w:rsidP="00C57B0A"/>
    <w:p w:rsidR="00804B58" w:rsidRDefault="00804B58" w:rsidP="00C57B0A"/>
    <w:p w:rsidR="00C57B0A" w:rsidRDefault="00C57B0A" w:rsidP="00C57B0A"/>
    <w:p w:rsidR="00C57B0A" w:rsidRPr="00C07591" w:rsidRDefault="00C57B0A"/>
    <w:p w:rsidR="00C07591" w:rsidRPr="00C07591" w:rsidRDefault="00C07591" w:rsidP="00C07591">
      <w:pPr>
        <w:shd w:val="clear" w:color="auto" w:fill="FFFFFF"/>
        <w:rPr>
          <w:rFonts w:eastAsia="Times New Roman"/>
          <w:lang w:val="en"/>
        </w:rPr>
      </w:pPr>
    </w:p>
    <w:p w:rsidR="00C57B0A" w:rsidRPr="00C07591" w:rsidRDefault="00C57B0A"/>
    <w:sectPr w:rsidR="00C57B0A" w:rsidRPr="00C0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11"/>
    <w:multiLevelType w:val="hybridMultilevel"/>
    <w:tmpl w:val="D546707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5A839F6"/>
    <w:multiLevelType w:val="hybridMultilevel"/>
    <w:tmpl w:val="95E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5C16"/>
    <w:multiLevelType w:val="hybridMultilevel"/>
    <w:tmpl w:val="F39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295D"/>
    <w:multiLevelType w:val="hybridMultilevel"/>
    <w:tmpl w:val="1BF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1C4E"/>
    <w:multiLevelType w:val="hybridMultilevel"/>
    <w:tmpl w:val="347C0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F466D"/>
    <w:multiLevelType w:val="hybridMultilevel"/>
    <w:tmpl w:val="18A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05AF8"/>
    <w:multiLevelType w:val="hybridMultilevel"/>
    <w:tmpl w:val="3DD2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1C99"/>
    <w:multiLevelType w:val="hybridMultilevel"/>
    <w:tmpl w:val="9C5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9498D"/>
    <w:multiLevelType w:val="hybridMultilevel"/>
    <w:tmpl w:val="FB3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B4CAB"/>
    <w:multiLevelType w:val="hybridMultilevel"/>
    <w:tmpl w:val="DE8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9205F"/>
    <w:multiLevelType w:val="hybridMultilevel"/>
    <w:tmpl w:val="1C5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A1857"/>
    <w:multiLevelType w:val="hybridMultilevel"/>
    <w:tmpl w:val="E0D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B4969"/>
    <w:multiLevelType w:val="hybridMultilevel"/>
    <w:tmpl w:val="F594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E674D"/>
    <w:multiLevelType w:val="hybridMultilevel"/>
    <w:tmpl w:val="892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A08E3"/>
    <w:multiLevelType w:val="hybridMultilevel"/>
    <w:tmpl w:val="1A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C7D2E"/>
    <w:multiLevelType w:val="hybridMultilevel"/>
    <w:tmpl w:val="3DCE7BC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70A118C7"/>
    <w:multiLevelType w:val="hybridMultilevel"/>
    <w:tmpl w:val="740C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011F7"/>
    <w:multiLevelType w:val="hybridMultilevel"/>
    <w:tmpl w:val="05D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1"/>
  </w:num>
  <w:num w:numId="5">
    <w:abstractNumId w:val="9"/>
  </w:num>
  <w:num w:numId="6">
    <w:abstractNumId w:val="13"/>
  </w:num>
  <w:num w:numId="7">
    <w:abstractNumId w:val="1"/>
  </w:num>
  <w:num w:numId="8">
    <w:abstractNumId w:val="2"/>
  </w:num>
  <w:num w:numId="9">
    <w:abstractNumId w:val="6"/>
  </w:num>
  <w:num w:numId="10">
    <w:abstractNumId w:val="17"/>
  </w:num>
  <w:num w:numId="11">
    <w:abstractNumId w:val="8"/>
  </w:num>
  <w:num w:numId="12">
    <w:abstractNumId w:val="16"/>
  </w:num>
  <w:num w:numId="13">
    <w:abstractNumId w:val="4"/>
  </w:num>
  <w:num w:numId="14">
    <w:abstractNumId w:val="7"/>
  </w:num>
  <w:num w:numId="15">
    <w:abstractNumId w:val="10"/>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0A"/>
    <w:rsid w:val="00035B30"/>
    <w:rsid w:val="000921A4"/>
    <w:rsid w:val="001466F3"/>
    <w:rsid w:val="001649AF"/>
    <w:rsid w:val="001951BA"/>
    <w:rsid w:val="001C0FA1"/>
    <w:rsid w:val="001E4142"/>
    <w:rsid w:val="002E383C"/>
    <w:rsid w:val="00330069"/>
    <w:rsid w:val="003E574D"/>
    <w:rsid w:val="00412F68"/>
    <w:rsid w:val="00470F2E"/>
    <w:rsid w:val="00482049"/>
    <w:rsid w:val="005E3474"/>
    <w:rsid w:val="005E6C66"/>
    <w:rsid w:val="00642B4B"/>
    <w:rsid w:val="00650223"/>
    <w:rsid w:val="007474F5"/>
    <w:rsid w:val="007B157A"/>
    <w:rsid w:val="007E5B3A"/>
    <w:rsid w:val="00804B58"/>
    <w:rsid w:val="008A7BA0"/>
    <w:rsid w:val="008B6ED4"/>
    <w:rsid w:val="008E1286"/>
    <w:rsid w:val="009277D4"/>
    <w:rsid w:val="00931BA5"/>
    <w:rsid w:val="00943A6E"/>
    <w:rsid w:val="009A48B7"/>
    <w:rsid w:val="009F452C"/>
    <w:rsid w:val="00A10BE6"/>
    <w:rsid w:val="00A64D2A"/>
    <w:rsid w:val="00A93DB0"/>
    <w:rsid w:val="00B274C0"/>
    <w:rsid w:val="00B62D33"/>
    <w:rsid w:val="00B808C2"/>
    <w:rsid w:val="00C039B6"/>
    <w:rsid w:val="00C07591"/>
    <w:rsid w:val="00C14ACA"/>
    <w:rsid w:val="00C57B0A"/>
    <w:rsid w:val="00D06DD2"/>
    <w:rsid w:val="00D50838"/>
    <w:rsid w:val="00DC7C48"/>
    <w:rsid w:val="00E21E58"/>
    <w:rsid w:val="00EC6702"/>
    <w:rsid w:val="00EC7E59"/>
    <w:rsid w:val="00F4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DB62"/>
  <w15:docId w15:val="{ECC1F413-7C44-4990-B6B9-C11500CE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0A"/>
    <w:rPr>
      <w:color w:val="0000FF" w:themeColor="hyperlink"/>
      <w:u w:val="single"/>
    </w:rPr>
  </w:style>
  <w:style w:type="paragraph" w:styleId="ListParagraph">
    <w:name w:val="List Paragraph"/>
    <w:basedOn w:val="Normal"/>
    <w:uiPriority w:val="34"/>
    <w:qFormat/>
    <w:rsid w:val="005E6C66"/>
    <w:pPr>
      <w:ind w:left="720"/>
      <w:contextualSpacing/>
    </w:pPr>
  </w:style>
  <w:style w:type="table" w:styleId="TableGrid">
    <w:name w:val="Table Grid"/>
    <w:basedOn w:val="TableNormal"/>
    <w:uiPriority w:val="59"/>
    <w:rsid w:val="00D0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C07591"/>
  </w:style>
  <w:style w:type="paragraph" w:customStyle="1" w:styleId="Default">
    <w:name w:val="Default"/>
    <w:rsid w:val="00C039B6"/>
    <w:pPr>
      <w:autoSpaceDE w:val="0"/>
      <w:autoSpaceDN w:val="0"/>
      <w:adjustRightInd w:val="0"/>
    </w:pPr>
    <w:rPr>
      <w:color w:val="000000"/>
    </w:rPr>
  </w:style>
  <w:style w:type="paragraph" w:styleId="NormalWeb">
    <w:name w:val="Normal (Web)"/>
    <w:basedOn w:val="Normal"/>
    <w:rsid w:val="00E21E58"/>
    <w:pPr>
      <w:spacing w:before="100" w:beforeAutospacing="1" w:after="100" w:afterAutospacing="1"/>
    </w:pPr>
    <w:rPr>
      <w:rFonts w:eastAsia="Times New Roman"/>
    </w:rPr>
  </w:style>
  <w:style w:type="paragraph" w:styleId="NoSpacing">
    <w:name w:val="No Spacing"/>
    <w:uiPriority w:val="1"/>
    <w:qFormat/>
    <w:rsid w:val="00E21E5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7016">
      <w:bodyDiv w:val="1"/>
      <w:marLeft w:val="0"/>
      <w:marRight w:val="0"/>
      <w:marTop w:val="0"/>
      <w:marBottom w:val="0"/>
      <w:divBdr>
        <w:top w:val="none" w:sz="0" w:space="0" w:color="auto"/>
        <w:left w:val="none" w:sz="0" w:space="0" w:color="auto"/>
        <w:bottom w:val="none" w:sz="0" w:space="0" w:color="auto"/>
        <w:right w:val="none" w:sz="0" w:space="0" w:color="auto"/>
      </w:divBdr>
      <w:divsChild>
        <w:div w:id="535461724">
          <w:marLeft w:val="0"/>
          <w:marRight w:val="0"/>
          <w:marTop w:val="0"/>
          <w:marBottom w:val="0"/>
          <w:divBdr>
            <w:top w:val="none" w:sz="0" w:space="0" w:color="auto"/>
            <w:left w:val="none" w:sz="0" w:space="0" w:color="auto"/>
            <w:bottom w:val="none" w:sz="0" w:space="0" w:color="auto"/>
            <w:right w:val="none" w:sz="0" w:space="0" w:color="auto"/>
          </w:divBdr>
          <w:divsChild>
            <w:div w:id="518668066">
              <w:marLeft w:val="0"/>
              <w:marRight w:val="0"/>
              <w:marTop w:val="0"/>
              <w:marBottom w:val="0"/>
              <w:divBdr>
                <w:top w:val="none" w:sz="0" w:space="0" w:color="auto"/>
                <w:left w:val="none" w:sz="0" w:space="0" w:color="auto"/>
                <w:bottom w:val="none" w:sz="0" w:space="0" w:color="auto"/>
                <w:right w:val="none" w:sz="0" w:space="0" w:color="auto"/>
              </w:divBdr>
              <w:divsChild>
                <w:div w:id="983007175">
                  <w:marLeft w:val="0"/>
                  <w:marRight w:val="0"/>
                  <w:marTop w:val="219"/>
                  <w:marBottom w:val="219"/>
                  <w:divBdr>
                    <w:top w:val="none" w:sz="0" w:space="0" w:color="auto"/>
                    <w:left w:val="none" w:sz="0" w:space="0" w:color="auto"/>
                    <w:bottom w:val="none" w:sz="0" w:space="0" w:color="auto"/>
                    <w:right w:val="none" w:sz="0" w:space="0" w:color="auto"/>
                  </w:divBdr>
                  <w:divsChild>
                    <w:div w:id="1530609453">
                      <w:marLeft w:val="0"/>
                      <w:marRight w:val="0"/>
                      <w:marTop w:val="0"/>
                      <w:marBottom w:val="0"/>
                      <w:divBdr>
                        <w:top w:val="none" w:sz="0" w:space="0" w:color="auto"/>
                        <w:left w:val="none" w:sz="0" w:space="0" w:color="auto"/>
                        <w:bottom w:val="none" w:sz="0" w:space="0" w:color="auto"/>
                        <w:right w:val="none" w:sz="0" w:space="0" w:color="auto"/>
                      </w:divBdr>
                      <w:divsChild>
                        <w:div w:id="1782066190">
                          <w:marLeft w:val="0"/>
                          <w:marRight w:val="0"/>
                          <w:marTop w:val="0"/>
                          <w:marBottom w:val="0"/>
                          <w:divBdr>
                            <w:top w:val="none" w:sz="0" w:space="0" w:color="auto"/>
                            <w:left w:val="none" w:sz="0" w:space="0" w:color="auto"/>
                            <w:bottom w:val="none" w:sz="0" w:space="0" w:color="auto"/>
                            <w:right w:val="none" w:sz="0" w:space="0" w:color="auto"/>
                          </w:divBdr>
                        </w:div>
                        <w:div w:id="613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55091">
      <w:bodyDiv w:val="1"/>
      <w:marLeft w:val="0"/>
      <w:marRight w:val="0"/>
      <w:marTop w:val="0"/>
      <w:marBottom w:val="0"/>
      <w:divBdr>
        <w:top w:val="none" w:sz="0" w:space="0" w:color="auto"/>
        <w:left w:val="none" w:sz="0" w:space="0" w:color="auto"/>
        <w:bottom w:val="none" w:sz="0" w:space="0" w:color="auto"/>
        <w:right w:val="none" w:sz="0" w:space="0" w:color="auto"/>
      </w:divBdr>
      <w:divsChild>
        <w:div w:id="1287273514">
          <w:marLeft w:val="0"/>
          <w:marRight w:val="0"/>
          <w:marTop w:val="0"/>
          <w:marBottom w:val="0"/>
          <w:divBdr>
            <w:top w:val="none" w:sz="0" w:space="0" w:color="auto"/>
            <w:left w:val="none" w:sz="0" w:space="0" w:color="auto"/>
            <w:bottom w:val="none" w:sz="0" w:space="0" w:color="auto"/>
            <w:right w:val="none" w:sz="0" w:space="0" w:color="auto"/>
          </w:divBdr>
          <w:divsChild>
            <w:div w:id="1793550662">
              <w:marLeft w:val="0"/>
              <w:marRight w:val="0"/>
              <w:marTop w:val="0"/>
              <w:marBottom w:val="0"/>
              <w:divBdr>
                <w:top w:val="none" w:sz="0" w:space="0" w:color="auto"/>
                <w:left w:val="none" w:sz="0" w:space="0" w:color="auto"/>
                <w:bottom w:val="none" w:sz="0" w:space="0" w:color="auto"/>
                <w:right w:val="none" w:sz="0" w:space="0" w:color="auto"/>
              </w:divBdr>
              <w:divsChild>
                <w:div w:id="296683867">
                  <w:marLeft w:val="0"/>
                  <w:marRight w:val="0"/>
                  <w:marTop w:val="219"/>
                  <w:marBottom w:val="219"/>
                  <w:divBdr>
                    <w:top w:val="none" w:sz="0" w:space="0" w:color="auto"/>
                    <w:left w:val="none" w:sz="0" w:space="0" w:color="auto"/>
                    <w:bottom w:val="none" w:sz="0" w:space="0" w:color="auto"/>
                    <w:right w:val="none" w:sz="0" w:space="0" w:color="auto"/>
                  </w:divBdr>
                  <w:divsChild>
                    <w:div w:id="1357586595">
                      <w:marLeft w:val="0"/>
                      <w:marRight w:val="0"/>
                      <w:marTop w:val="0"/>
                      <w:marBottom w:val="0"/>
                      <w:divBdr>
                        <w:top w:val="none" w:sz="0" w:space="0" w:color="auto"/>
                        <w:left w:val="none" w:sz="0" w:space="0" w:color="auto"/>
                        <w:bottom w:val="none" w:sz="0" w:space="0" w:color="auto"/>
                        <w:right w:val="none" w:sz="0" w:space="0" w:color="auto"/>
                      </w:divBdr>
                      <w:divsChild>
                        <w:div w:id="732508234">
                          <w:marLeft w:val="0"/>
                          <w:marRight w:val="0"/>
                          <w:marTop w:val="0"/>
                          <w:marBottom w:val="0"/>
                          <w:divBdr>
                            <w:top w:val="none" w:sz="0" w:space="0" w:color="auto"/>
                            <w:left w:val="none" w:sz="0" w:space="0" w:color="auto"/>
                            <w:bottom w:val="none" w:sz="0" w:space="0" w:color="auto"/>
                            <w:right w:val="none" w:sz="0" w:space="0" w:color="auto"/>
                          </w:divBdr>
                        </w:div>
                        <w:div w:id="449397096">
                          <w:marLeft w:val="0"/>
                          <w:marRight w:val="0"/>
                          <w:marTop w:val="0"/>
                          <w:marBottom w:val="0"/>
                          <w:divBdr>
                            <w:top w:val="none" w:sz="0" w:space="0" w:color="auto"/>
                            <w:left w:val="none" w:sz="0" w:space="0" w:color="auto"/>
                            <w:bottom w:val="none" w:sz="0" w:space="0" w:color="auto"/>
                            <w:right w:val="none" w:sz="0" w:space="0" w:color="auto"/>
                          </w:divBdr>
                        </w:div>
                        <w:div w:id="1530602239">
                          <w:marLeft w:val="0"/>
                          <w:marRight w:val="0"/>
                          <w:marTop w:val="0"/>
                          <w:marBottom w:val="0"/>
                          <w:divBdr>
                            <w:top w:val="none" w:sz="0" w:space="0" w:color="auto"/>
                            <w:left w:val="none" w:sz="0" w:space="0" w:color="auto"/>
                            <w:bottom w:val="none" w:sz="0" w:space="0" w:color="auto"/>
                            <w:right w:val="none" w:sz="0" w:space="0" w:color="auto"/>
                          </w:divBdr>
                        </w:div>
                        <w:div w:id="614675432">
                          <w:marLeft w:val="0"/>
                          <w:marRight w:val="0"/>
                          <w:marTop w:val="0"/>
                          <w:marBottom w:val="0"/>
                          <w:divBdr>
                            <w:top w:val="none" w:sz="0" w:space="0" w:color="auto"/>
                            <w:left w:val="none" w:sz="0" w:space="0" w:color="auto"/>
                            <w:bottom w:val="none" w:sz="0" w:space="0" w:color="auto"/>
                            <w:right w:val="none" w:sz="0" w:space="0" w:color="auto"/>
                          </w:divBdr>
                        </w:div>
                        <w:div w:id="1456679676">
                          <w:marLeft w:val="0"/>
                          <w:marRight w:val="0"/>
                          <w:marTop w:val="0"/>
                          <w:marBottom w:val="0"/>
                          <w:divBdr>
                            <w:top w:val="none" w:sz="0" w:space="0" w:color="auto"/>
                            <w:left w:val="none" w:sz="0" w:space="0" w:color="auto"/>
                            <w:bottom w:val="none" w:sz="0" w:space="0" w:color="auto"/>
                            <w:right w:val="none" w:sz="0" w:space="0" w:color="auto"/>
                          </w:divBdr>
                        </w:div>
                        <w:div w:id="471019830">
                          <w:marLeft w:val="0"/>
                          <w:marRight w:val="0"/>
                          <w:marTop w:val="0"/>
                          <w:marBottom w:val="0"/>
                          <w:divBdr>
                            <w:top w:val="none" w:sz="0" w:space="0" w:color="auto"/>
                            <w:left w:val="none" w:sz="0" w:space="0" w:color="auto"/>
                            <w:bottom w:val="none" w:sz="0" w:space="0" w:color="auto"/>
                            <w:right w:val="none" w:sz="0" w:space="0" w:color="auto"/>
                          </w:divBdr>
                        </w:div>
                        <w:div w:id="1925676423">
                          <w:marLeft w:val="0"/>
                          <w:marRight w:val="0"/>
                          <w:marTop w:val="0"/>
                          <w:marBottom w:val="0"/>
                          <w:divBdr>
                            <w:top w:val="none" w:sz="0" w:space="0" w:color="auto"/>
                            <w:left w:val="none" w:sz="0" w:space="0" w:color="auto"/>
                            <w:bottom w:val="none" w:sz="0" w:space="0" w:color="auto"/>
                            <w:right w:val="none" w:sz="0" w:space="0" w:color="auto"/>
                          </w:divBdr>
                        </w:div>
                        <w:div w:id="1415319765">
                          <w:marLeft w:val="0"/>
                          <w:marRight w:val="0"/>
                          <w:marTop w:val="0"/>
                          <w:marBottom w:val="0"/>
                          <w:divBdr>
                            <w:top w:val="none" w:sz="0" w:space="0" w:color="auto"/>
                            <w:left w:val="none" w:sz="0" w:space="0" w:color="auto"/>
                            <w:bottom w:val="none" w:sz="0" w:space="0" w:color="auto"/>
                            <w:right w:val="none" w:sz="0" w:space="0" w:color="auto"/>
                          </w:divBdr>
                        </w:div>
                        <w:div w:id="1436369661">
                          <w:marLeft w:val="0"/>
                          <w:marRight w:val="0"/>
                          <w:marTop w:val="0"/>
                          <w:marBottom w:val="0"/>
                          <w:divBdr>
                            <w:top w:val="none" w:sz="0" w:space="0" w:color="auto"/>
                            <w:left w:val="none" w:sz="0" w:space="0" w:color="auto"/>
                            <w:bottom w:val="none" w:sz="0" w:space="0" w:color="auto"/>
                            <w:right w:val="none" w:sz="0" w:space="0" w:color="auto"/>
                          </w:divBdr>
                        </w:div>
                        <w:div w:id="44260050">
                          <w:marLeft w:val="0"/>
                          <w:marRight w:val="0"/>
                          <w:marTop w:val="0"/>
                          <w:marBottom w:val="0"/>
                          <w:divBdr>
                            <w:top w:val="none" w:sz="0" w:space="0" w:color="auto"/>
                            <w:left w:val="none" w:sz="0" w:space="0" w:color="auto"/>
                            <w:bottom w:val="none" w:sz="0" w:space="0" w:color="auto"/>
                            <w:right w:val="none" w:sz="0" w:space="0" w:color="auto"/>
                          </w:divBdr>
                        </w:div>
                        <w:div w:id="984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utah.edu/" TargetMode="External"/><Relationship Id="rId3" Type="http://schemas.openxmlformats.org/officeDocument/2006/relationships/settings" Target="settings.xml"/><Relationship Id="rId7" Type="http://schemas.openxmlformats.org/officeDocument/2006/relationships/hyperlink" Target="http://darwin-online.org.uk/graphics/illustr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cad%C3%A9mie-Spiral-Sketchbook-Heavyweight-54404/dp/B00260VPTM/ref=sr_1_4?s=office-products&amp;ie=UTF8&amp;qid=1468449154&amp;sr=1-4&amp;keywords=sketchbook" TargetMode="External"/><Relationship Id="rId11" Type="http://schemas.openxmlformats.org/officeDocument/2006/relationships/fontTable" Target="fontTable.xml"/><Relationship Id="rId5" Type="http://schemas.openxmlformats.org/officeDocument/2006/relationships/hyperlink" Target="mailto:jakob.jensen@utah.edu" TargetMode="External"/><Relationship Id="rId10" Type="http://schemas.openxmlformats.org/officeDocument/2006/relationships/hyperlink" Target="http://wellness.utah.edu/" TargetMode="External"/><Relationship Id="rId4" Type="http://schemas.openxmlformats.org/officeDocument/2006/relationships/webSettings" Target="webSettings.xml"/><Relationship Id="rId9" Type="http://schemas.openxmlformats.org/officeDocument/2006/relationships/hyperlink" Target="http://regulations.utah.edu/academics/6-40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Closet</dc:creator>
  <cp:lastModifiedBy>J Jensen</cp:lastModifiedBy>
  <cp:revision>3</cp:revision>
  <dcterms:created xsi:type="dcterms:W3CDTF">2016-07-16T14:29:00Z</dcterms:created>
  <dcterms:modified xsi:type="dcterms:W3CDTF">2016-07-16T23:34:00Z</dcterms:modified>
</cp:coreProperties>
</file>